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F58" w:rsidRPr="00F91AB7" w:rsidRDefault="00F01970" w:rsidP="006F1AB8">
      <w:pPr>
        <w:spacing w:after="0" w:line="240" w:lineRule="auto"/>
        <w:jc w:val="center"/>
        <w:rPr>
          <w:rFonts w:ascii="Times New Roman" w:hAnsi="Times New Roman" w:cs="Times New Roman"/>
          <w:b/>
          <w:sz w:val="24"/>
          <w:szCs w:val="24"/>
        </w:rPr>
      </w:pPr>
      <w:bookmarkStart w:id="0" w:name="_GoBack"/>
      <w:bookmarkEnd w:id="0"/>
      <w:r w:rsidRPr="00F91AB7">
        <w:rPr>
          <w:rFonts w:ascii="Times New Roman" w:hAnsi="Times New Roman" w:cs="Times New Roman"/>
          <w:b/>
          <w:sz w:val="24"/>
          <w:szCs w:val="24"/>
        </w:rPr>
        <w:t>Teismo precedentas kaip vienodos</w:t>
      </w:r>
      <w:r w:rsidR="001F736B" w:rsidRPr="00F91AB7">
        <w:rPr>
          <w:rFonts w:ascii="Times New Roman" w:hAnsi="Times New Roman" w:cs="Times New Roman"/>
          <w:b/>
          <w:sz w:val="24"/>
          <w:szCs w:val="24"/>
        </w:rPr>
        <w:t xml:space="preserve"> teismų praktikos formavimo priemonė</w:t>
      </w:r>
    </w:p>
    <w:p w:rsidR="00F01970" w:rsidRPr="00F91AB7" w:rsidRDefault="00F01970" w:rsidP="006F1AB8">
      <w:pPr>
        <w:spacing w:after="0" w:line="240" w:lineRule="auto"/>
        <w:rPr>
          <w:rFonts w:ascii="Times New Roman" w:hAnsi="Times New Roman" w:cs="Times New Roman"/>
          <w:sz w:val="24"/>
          <w:szCs w:val="24"/>
        </w:rPr>
      </w:pPr>
    </w:p>
    <w:p w:rsidR="00E86ACC" w:rsidRPr="00F91AB7" w:rsidRDefault="00D23F97" w:rsidP="006F1AB8">
      <w:pPr>
        <w:shd w:val="clear" w:color="auto" w:fill="FFFFFF"/>
        <w:spacing w:after="0" w:line="240" w:lineRule="auto"/>
        <w:jc w:val="both"/>
        <w:rPr>
          <w:rFonts w:ascii="Times New Roman" w:eastAsia="Times New Roman" w:hAnsi="Times New Roman" w:cs="Times New Roman"/>
          <w:sz w:val="24"/>
          <w:szCs w:val="24"/>
          <w:lang w:eastAsia="lt-LT"/>
        </w:rPr>
      </w:pPr>
      <w:r w:rsidRPr="00F91AB7">
        <w:rPr>
          <w:rFonts w:ascii="Times New Roman" w:eastAsia="Times New Roman" w:hAnsi="Times New Roman" w:cs="Times New Roman"/>
          <w:sz w:val="24"/>
          <w:szCs w:val="24"/>
          <w:lang w:eastAsia="lt-LT"/>
        </w:rPr>
        <w:t>Kaip 2006 m. kovo 28 d.  nutarime, kurio 10 metų sukaktį minime šiandien, konstatavo Konstitucinis teismas, k</w:t>
      </w:r>
      <w:r w:rsidR="004A40FE" w:rsidRPr="00F91AB7">
        <w:rPr>
          <w:rFonts w:ascii="Times New Roman" w:eastAsia="Times New Roman" w:hAnsi="Times New Roman" w:cs="Times New Roman"/>
          <w:sz w:val="24"/>
          <w:szCs w:val="24"/>
          <w:lang w:eastAsia="lt-LT"/>
        </w:rPr>
        <w:t xml:space="preserve">onstitucinis teisinės valstybės principas suponuoja jurisprudencijos tęstinumą. Konstitucijoje įtvirtinta bendrosios kompetencijos </w:t>
      </w:r>
      <w:r w:rsidR="00C62B84" w:rsidRPr="00F91AB7">
        <w:rPr>
          <w:rFonts w:ascii="Times New Roman" w:eastAsia="Times New Roman" w:hAnsi="Times New Roman" w:cs="Times New Roman"/>
          <w:sz w:val="24"/>
          <w:szCs w:val="24"/>
          <w:lang w:eastAsia="lt-LT"/>
        </w:rPr>
        <w:t xml:space="preserve">ir specializuotų </w:t>
      </w:r>
      <w:r w:rsidR="004A40FE" w:rsidRPr="00F91AB7">
        <w:rPr>
          <w:rFonts w:ascii="Times New Roman" w:eastAsia="Times New Roman" w:hAnsi="Times New Roman" w:cs="Times New Roman"/>
          <w:sz w:val="24"/>
          <w:szCs w:val="24"/>
          <w:lang w:eastAsia="lt-LT"/>
        </w:rPr>
        <w:t>teismų instancinė sistema turi funkcionuoti taip, kad būtų sudarytos prielaidos formuotis vienodai (nuosekliai, neprieštaringai) teismų praktikai – būtent tokiai, kuri būtų grindžiama su Konstitucijoje įtvirtintais teisinės valstybės, teisingumo, asmenų lygybės teismui principais (bei kitais konstituciniais principais) neatskiriamai susijusia ir iš jų kylančia maksima, kad tokios pat (analogiškos) bylos turi būti sprendžiamos taip pat, t. y. jos turi būti sprendžiamos ne sukuriant naujus teismo precedentus, konkuruojančius su esamais, bet paisant jau įtvirtintų.</w:t>
      </w:r>
      <w:r w:rsidR="00D749CA" w:rsidRPr="00F91AB7">
        <w:rPr>
          <w:rFonts w:ascii="Times New Roman" w:eastAsia="Times New Roman" w:hAnsi="Times New Roman" w:cs="Times New Roman"/>
          <w:sz w:val="24"/>
          <w:szCs w:val="24"/>
          <w:lang w:eastAsia="lt-LT"/>
        </w:rPr>
        <w:t xml:space="preserve"> </w:t>
      </w:r>
    </w:p>
    <w:p w:rsidR="001702CC" w:rsidRPr="00F91AB7" w:rsidRDefault="001702CC" w:rsidP="006F1AB8">
      <w:pPr>
        <w:shd w:val="clear" w:color="auto" w:fill="FFFFFF"/>
        <w:spacing w:after="0" w:line="240" w:lineRule="auto"/>
        <w:jc w:val="both"/>
        <w:rPr>
          <w:rFonts w:ascii="Times New Roman" w:eastAsia="Times New Roman" w:hAnsi="Times New Roman" w:cs="Times New Roman"/>
          <w:sz w:val="24"/>
          <w:szCs w:val="24"/>
          <w:lang w:eastAsia="lt-LT"/>
        </w:rPr>
      </w:pPr>
    </w:p>
    <w:p w:rsidR="00412FFD" w:rsidRPr="00F91AB7" w:rsidRDefault="001702CC" w:rsidP="00412FFD">
      <w:pPr>
        <w:shd w:val="clear" w:color="auto" w:fill="FFFFFF"/>
        <w:spacing w:after="0" w:line="240" w:lineRule="auto"/>
        <w:jc w:val="both"/>
        <w:rPr>
          <w:rFonts w:ascii="Times New Roman" w:hAnsi="Times New Roman" w:cs="Times New Roman"/>
          <w:color w:val="000000"/>
          <w:sz w:val="24"/>
          <w:szCs w:val="24"/>
          <w:shd w:val="clear" w:color="auto" w:fill="FFFFFF"/>
        </w:rPr>
      </w:pPr>
      <w:r w:rsidRPr="00F91AB7">
        <w:rPr>
          <w:rFonts w:ascii="Times New Roman" w:eastAsia="Times New Roman" w:hAnsi="Times New Roman" w:cs="Times New Roman"/>
          <w:sz w:val="24"/>
          <w:szCs w:val="24"/>
          <w:lang w:eastAsia="lt-LT"/>
        </w:rPr>
        <w:t xml:space="preserve">Iš teismų jurisprudencijos ir teisės doktrinos žinome, kad </w:t>
      </w:r>
      <w:r w:rsidR="006F0187" w:rsidRPr="00F91AB7">
        <w:rPr>
          <w:rFonts w:ascii="Times New Roman" w:eastAsia="Times New Roman" w:hAnsi="Times New Roman" w:cs="Times New Roman"/>
          <w:sz w:val="24"/>
          <w:szCs w:val="24"/>
          <w:lang w:eastAsia="lt-LT"/>
        </w:rPr>
        <w:t xml:space="preserve">teismo </w:t>
      </w:r>
      <w:r w:rsidRPr="00F91AB7">
        <w:rPr>
          <w:rFonts w:ascii="Times New Roman" w:eastAsia="Times New Roman" w:hAnsi="Times New Roman" w:cs="Times New Roman"/>
          <w:sz w:val="24"/>
          <w:szCs w:val="24"/>
          <w:lang w:eastAsia="lt-LT"/>
        </w:rPr>
        <w:t xml:space="preserve">precedentas yra </w:t>
      </w:r>
      <w:r w:rsidR="00BA00CA">
        <w:rPr>
          <w:rFonts w:ascii="Times New Roman" w:eastAsia="Times New Roman" w:hAnsi="Times New Roman" w:cs="Times New Roman"/>
          <w:sz w:val="24"/>
          <w:szCs w:val="24"/>
          <w:lang w:eastAsia="lt-LT"/>
        </w:rPr>
        <w:t>pripažintas teisės šaltiniu</w:t>
      </w:r>
      <w:r w:rsidRPr="00F91AB7">
        <w:rPr>
          <w:rFonts w:ascii="Times New Roman" w:eastAsia="Times New Roman" w:hAnsi="Times New Roman" w:cs="Times New Roman"/>
          <w:sz w:val="24"/>
          <w:szCs w:val="24"/>
          <w:lang w:eastAsia="lt-LT"/>
        </w:rPr>
        <w:t xml:space="preserve"> - </w:t>
      </w:r>
      <w:r w:rsidRPr="00F91AB7">
        <w:rPr>
          <w:rFonts w:ascii="Times New Roman" w:hAnsi="Times New Roman" w:cs="Times New Roman"/>
          <w:i/>
          <w:iCs/>
          <w:color w:val="000000"/>
          <w:sz w:val="24"/>
          <w:szCs w:val="24"/>
          <w:shd w:val="clear" w:color="auto" w:fill="FFFFFF"/>
        </w:rPr>
        <w:t>auctoritate rationis</w:t>
      </w:r>
      <w:r w:rsidR="00CB292B" w:rsidRPr="00F91AB7">
        <w:rPr>
          <w:rStyle w:val="FootnoteReference"/>
          <w:rFonts w:ascii="Times New Roman" w:hAnsi="Times New Roman" w:cs="Times New Roman"/>
          <w:color w:val="000000"/>
          <w:sz w:val="24"/>
          <w:szCs w:val="24"/>
          <w:shd w:val="clear" w:color="auto" w:fill="FFFFFF"/>
        </w:rPr>
        <w:footnoteReference w:id="1"/>
      </w:r>
      <w:r w:rsidR="006F0187" w:rsidRPr="00F91AB7">
        <w:rPr>
          <w:rFonts w:ascii="Times New Roman" w:hAnsi="Times New Roman" w:cs="Times New Roman"/>
          <w:iCs/>
          <w:color w:val="000000"/>
          <w:sz w:val="24"/>
          <w:szCs w:val="24"/>
          <w:shd w:val="clear" w:color="auto" w:fill="FFFFFF"/>
        </w:rPr>
        <w:t xml:space="preserve">, </w:t>
      </w:r>
      <w:r w:rsidR="00BA00CA">
        <w:rPr>
          <w:rFonts w:ascii="Times New Roman" w:hAnsi="Times New Roman" w:cs="Times New Roman"/>
          <w:iCs/>
          <w:color w:val="000000"/>
          <w:sz w:val="24"/>
          <w:szCs w:val="24"/>
          <w:shd w:val="clear" w:color="auto" w:fill="FFFFFF"/>
        </w:rPr>
        <w:t xml:space="preserve">be to, tai yra </w:t>
      </w:r>
      <w:r w:rsidRPr="00F91AB7">
        <w:rPr>
          <w:rFonts w:ascii="Times New Roman" w:hAnsi="Times New Roman" w:cs="Times New Roman"/>
          <w:iCs/>
          <w:color w:val="000000"/>
          <w:sz w:val="24"/>
          <w:szCs w:val="24"/>
          <w:shd w:val="clear" w:color="auto" w:fill="FFFFFF"/>
        </w:rPr>
        <w:t>vienodos teis</w:t>
      </w:r>
      <w:r w:rsidR="00CB292B" w:rsidRPr="00F91AB7">
        <w:rPr>
          <w:rFonts w:ascii="Times New Roman" w:hAnsi="Times New Roman" w:cs="Times New Roman"/>
          <w:iCs/>
          <w:color w:val="000000"/>
          <w:sz w:val="24"/>
          <w:szCs w:val="24"/>
          <w:shd w:val="clear" w:color="auto" w:fill="FFFFFF"/>
        </w:rPr>
        <w:t>mų praktikos formavimo priemonė</w:t>
      </w:r>
      <w:r w:rsidR="00F87C34" w:rsidRPr="00F91AB7">
        <w:rPr>
          <w:rFonts w:ascii="Times New Roman" w:hAnsi="Times New Roman" w:cs="Times New Roman"/>
          <w:iCs/>
          <w:color w:val="000000"/>
          <w:sz w:val="24"/>
          <w:szCs w:val="24"/>
          <w:shd w:val="clear" w:color="auto" w:fill="FFFFFF"/>
        </w:rPr>
        <w:t xml:space="preserve">, užtikrinanti </w:t>
      </w:r>
      <w:r w:rsidR="00F87C34" w:rsidRPr="00F91AB7">
        <w:rPr>
          <w:rFonts w:ascii="Times New Roman" w:eastAsia="Times New Roman" w:hAnsi="Times New Roman" w:cs="Times New Roman"/>
          <w:sz w:val="24"/>
          <w:szCs w:val="24"/>
          <w:lang w:eastAsia="lt-LT"/>
        </w:rPr>
        <w:t>teismų sprendimų prognozuojamumą, kuris savaime lemia teismų jurisprudencijos tęstinumą, būtiną teisinėje valstybėje</w:t>
      </w:r>
      <w:r w:rsidR="00CB292B" w:rsidRPr="00F91AB7">
        <w:rPr>
          <w:rFonts w:ascii="Times New Roman" w:hAnsi="Times New Roman" w:cs="Times New Roman"/>
          <w:color w:val="000000"/>
          <w:sz w:val="24"/>
          <w:szCs w:val="24"/>
          <w:shd w:val="clear" w:color="auto" w:fill="FFFFFF"/>
        </w:rPr>
        <w:t xml:space="preserve">. Tačiau ar kada pagalvojome, kad precedentas </w:t>
      </w:r>
      <w:r w:rsidR="006F0187" w:rsidRPr="00F91AB7">
        <w:rPr>
          <w:rFonts w:ascii="Times New Roman" w:hAnsi="Times New Roman" w:cs="Times New Roman"/>
          <w:color w:val="000000"/>
          <w:sz w:val="24"/>
          <w:szCs w:val="24"/>
          <w:shd w:val="clear" w:color="auto" w:fill="FFFFFF"/>
        </w:rPr>
        <w:t xml:space="preserve">yra ne tik įrankis formuoti neprieštaringą, nuoseklią teismų praktiką, bet </w:t>
      </w:r>
      <w:r w:rsidR="00CB292B" w:rsidRPr="00F91AB7">
        <w:rPr>
          <w:rFonts w:ascii="Times New Roman" w:hAnsi="Times New Roman" w:cs="Times New Roman"/>
          <w:color w:val="000000"/>
          <w:sz w:val="24"/>
          <w:szCs w:val="24"/>
          <w:shd w:val="clear" w:color="auto" w:fill="FFFFFF"/>
        </w:rPr>
        <w:t>kartu</w:t>
      </w:r>
      <w:r w:rsidR="006F0187" w:rsidRPr="00F91AB7">
        <w:rPr>
          <w:rFonts w:ascii="Times New Roman" w:hAnsi="Times New Roman" w:cs="Times New Roman"/>
          <w:color w:val="000000"/>
          <w:sz w:val="24"/>
          <w:szCs w:val="24"/>
          <w:shd w:val="clear" w:color="auto" w:fill="FFFFFF"/>
        </w:rPr>
        <w:t xml:space="preserve"> ir </w:t>
      </w:r>
      <w:r w:rsidR="001A7C75" w:rsidRPr="00F91AB7">
        <w:rPr>
          <w:rFonts w:ascii="Times New Roman" w:hAnsi="Times New Roman" w:cs="Times New Roman"/>
          <w:color w:val="000000"/>
          <w:sz w:val="24"/>
          <w:szCs w:val="24"/>
          <w:shd w:val="clear" w:color="auto" w:fill="FFFFFF"/>
        </w:rPr>
        <w:t>kertinio</w:t>
      </w:r>
      <w:r w:rsidR="006F0187" w:rsidRPr="00F91AB7">
        <w:rPr>
          <w:rFonts w:ascii="Times New Roman" w:hAnsi="Times New Roman" w:cs="Times New Roman"/>
          <w:color w:val="000000"/>
          <w:sz w:val="24"/>
          <w:szCs w:val="24"/>
          <w:shd w:val="clear" w:color="auto" w:fill="FFFFFF"/>
        </w:rPr>
        <w:t>, ES teisės bendrojo teisės principo ir iš teisinės valstybės principo kylančio</w:t>
      </w:r>
      <w:r w:rsidR="00CB292B" w:rsidRPr="00F91AB7">
        <w:rPr>
          <w:rFonts w:ascii="Times New Roman" w:hAnsi="Times New Roman" w:cs="Times New Roman"/>
          <w:color w:val="000000"/>
          <w:sz w:val="24"/>
          <w:szCs w:val="24"/>
          <w:shd w:val="clear" w:color="auto" w:fill="FFFFFF"/>
        </w:rPr>
        <w:t xml:space="preserve"> </w:t>
      </w:r>
      <w:r w:rsidR="001A7C75" w:rsidRPr="00F91AB7">
        <w:rPr>
          <w:rFonts w:ascii="Times New Roman" w:hAnsi="Times New Roman" w:cs="Times New Roman"/>
          <w:color w:val="000000"/>
          <w:sz w:val="24"/>
          <w:szCs w:val="24"/>
          <w:shd w:val="clear" w:color="auto" w:fill="FFFFFF"/>
        </w:rPr>
        <w:t xml:space="preserve">pamatinio </w:t>
      </w:r>
      <w:r w:rsidR="006F0187" w:rsidRPr="00F91AB7">
        <w:rPr>
          <w:rFonts w:ascii="Times New Roman" w:hAnsi="Times New Roman" w:cs="Times New Roman"/>
          <w:color w:val="000000"/>
          <w:sz w:val="24"/>
          <w:szCs w:val="24"/>
          <w:shd w:val="clear" w:color="auto" w:fill="FFFFFF"/>
        </w:rPr>
        <w:t xml:space="preserve">nacionalinės teisės principo - </w:t>
      </w:r>
      <w:r w:rsidR="00CB292B" w:rsidRPr="00F91AB7">
        <w:rPr>
          <w:rFonts w:ascii="Times New Roman" w:hAnsi="Times New Roman" w:cs="Times New Roman"/>
          <w:color w:val="000000"/>
          <w:sz w:val="24"/>
          <w:szCs w:val="24"/>
          <w:shd w:val="clear" w:color="auto" w:fill="FFFFFF"/>
        </w:rPr>
        <w:t xml:space="preserve">teisinio saugumo principo tinkamo taikymo </w:t>
      </w:r>
      <w:r w:rsidR="006F0187" w:rsidRPr="00F91AB7">
        <w:rPr>
          <w:rFonts w:ascii="Times New Roman" w:hAnsi="Times New Roman" w:cs="Times New Roman"/>
          <w:color w:val="000000"/>
          <w:sz w:val="24"/>
          <w:szCs w:val="24"/>
          <w:shd w:val="clear" w:color="auto" w:fill="FFFFFF"/>
        </w:rPr>
        <w:t>sąlyga</w:t>
      </w:r>
      <w:r w:rsidR="00CB292B" w:rsidRPr="00F91AB7">
        <w:rPr>
          <w:rFonts w:ascii="Times New Roman" w:hAnsi="Times New Roman" w:cs="Times New Roman"/>
          <w:color w:val="000000"/>
          <w:sz w:val="24"/>
          <w:szCs w:val="24"/>
          <w:shd w:val="clear" w:color="auto" w:fill="FFFFFF"/>
        </w:rPr>
        <w:t xml:space="preserve">? Plėtodamas šią mintį, visų pirma norėčiau </w:t>
      </w:r>
      <w:r w:rsidR="004232FB" w:rsidRPr="00F91AB7">
        <w:rPr>
          <w:rFonts w:ascii="Times New Roman" w:hAnsi="Times New Roman" w:cs="Times New Roman"/>
          <w:color w:val="000000"/>
          <w:sz w:val="24"/>
          <w:szCs w:val="24"/>
          <w:shd w:val="clear" w:color="auto" w:fill="FFFFFF"/>
        </w:rPr>
        <w:t xml:space="preserve">atskleisti </w:t>
      </w:r>
      <w:r w:rsidR="00CB292B" w:rsidRPr="00F91AB7">
        <w:rPr>
          <w:rFonts w:ascii="Times New Roman" w:hAnsi="Times New Roman" w:cs="Times New Roman"/>
          <w:color w:val="000000"/>
          <w:sz w:val="24"/>
          <w:szCs w:val="24"/>
          <w:shd w:val="clear" w:color="auto" w:fill="FFFFFF"/>
        </w:rPr>
        <w:t xml:space="preserve">teisinio saugumo principo </w:t>
      </w:r>
      <w:r w:rsidR="004232FB" w:rsidRPr="00F91AB7">
        <w:rPr>
          <w:rFonts w:ascii="Times New Roman" w:hAnsi="Times New Roman" w:cs="Times New Roman"/>
          <w:color w:val="000000"/>
          <w:sz w:val="24"/>
          <w:szCs w:val="24"/>
          <w:shd w:val="clear" w:color="auto" w:fill="FFFFFF"/>
        </w:rPr>
        <w:t>turinį</w:t>
      </w:r>
      <w:r w:rsidR="00CB292B" w:rsidRPr="00F91AB7">
        <w:rPr>
          <w:rFonts w:ascii="Times New Roman" w:hAnsi="Times New Roman" w:cs="Times New Roman"/>
          <w:color w:val="000000"/>
          <w:sz w:val="24"/>
          <w:szCs w:val="24"/>
          <w:shd w:val="clear" w:color="auto" w:fill="FFFFFF"/>
        </w:rPr>
        <w:t xml:space="preserve"> </w:t>
      </w:r>
      <w:r w:rsidR="0020270C" w:rsidRPr="00F91AB7">
        <w:rPr>
          <w:rFonts w:ascii="Times New Roman" w:hAnsi="Times New Roman" w:cs="Times New Roman"/>
          <w:color w:val="000000"/>
          <w:sz w:val="24"/>
          <w:szCs w:val="24"/>
          <w:shd w:val="clear" w:color="auto" w:fill="FFFFFF"/>
        </w:rPr>
        <w:t xml:space="preserve">trumpai </w:t>
      </w:r>
      <w:r w:rsidR="00F87C34" w:rsidRPr="00F91AB7">
        <w:rPr>
          <w:rFonts w:ascii="Times New Roman" w:hAnsi="Times New Roman" w:cs="Times New Roman"/>
          <w:color w:val="000000"/>
          <w:sz w:val="24"/>
          <w:szCs w:val="24"/>
          <w:shd w:val="clear" w:color="auto" w:fill="FFFFFF"/>
        </w:rPr>
        <w:t>aptardamas p</w:t>
      </w:r>
      <w:r w:rsidR="0020270C" w:rsidRPr="00F91AB7">
        <w:rPr>
          <w:rFonts w:ascii="Times New Roman" w:hAnsi="Times New Roman" w:cs="Times New Roman"/>
          <w:color w:val="000000"/>
          <w:sz w:val="24"/>
          <w:szCs w:val="24"/>
          <w:shd w:val="clear" w:color="auto" w:fill="FFFFFF"/>
        </w:rPr>
        <w:t xml:space="preserve">agrindines šio principo aiškinimo koncepcijas </w:t>
      </w:r>
      <w:r w:rsidR="004232FB" w:rsidRPr="00F91AB7">
        <w:rPr>
          <w:rFonts w:ascii="Times New Roman" w:hAnsi="Times New Roman" w:cs="Times New Roman"/>
          <w:color w:val="000000"/>
          <w:sz w:val="24"/>
          <w:szCs w:val="24"/>
          <w:shd w:val="clear" w:color="auto" w:fill="FFFFFF"/>
        </w:rPr>
        <w:t xml:space="preserve">teisės doktrinoje, </w:t>
      </w:r>
      <w:r w:rsidR="00CB292B" w:rsidRPr="00F91AB7">
        <w:rPr>
          <w:rFonts w:ascii="Times New Roman" w:hAnsi="Times New Roman" w:cs="Times New Roman"/>
          <w:color w:val="000000"/>
          <w:sz w:val="24"/>
          <w:szCs w:val="24"/>
          <w:shd w:val="clear" w:color="auto" w:fill="FFFFFF"/>
        </w:rPr>
        <w:t>ES te</w:t>
      </w:r>
      <w:r w:rsidR="006F0187" w:rsidRPr="00F91AB7">
        <w:rPr>
          <w:rFonts w:ascii="Times New Roman" w:hAnsi="Times New Roman" w:cs="Times New Roman"/>
          <w:color w:val="000000"/>
          <w:sz w:val="24"/>
          <w:szCs w:val="24"/>
          <w:shd w:val="clear" w:color="auto" w:fill="FFFFFF"/>
        </w:rPr>
        <w:t>isėje ir nacionalinėje teisėje.</w:t>
      </w:r>
    </w:p>
    <w:p w:rsidR="00412FFD" w:rsidRPr="00F91AB7" w:rsidRDefault="00412FFD" w:rsidP="00412FFD">
      <w:pPr>
        <w:shd w:val="clear" w:color="auto" w:fill="FFFFFF"/>
        <w:spacing w:after="0" w:line="240" w:lineRule="auto"/>
        <w:jc w:val="both"/>
        <w:rPr>
          <w:rFonts w:ascii="Times New Roman" w:hAnsi="Times New Roman" w:cs="Times New Roman"/>
          <w:color w:val="000000"/>
          <w:sz w:val="24"/>
          <w:szCs w:val="24"/>
          <w:shd w:val="clear" w:color="auto" w:fill="FFFFFF"/>
        </w:rPr>
      </w:pPr>
    </w:p>
    <w:p w:rsidR="00412FFD" w:rsidRPr="00F91AB7" w:rsidRDefault="004232FB" w:rsidP="00412FFD">
      <w:pPr>
        <w:shd w:val="clear" w:color="auto" w:fill="FFFFFF"/>
        <w:spacing w:after="0" w:line="240" w:lineRule="auto"/>
        <w:jc w:val="both"/>
        <w:rPr>
          <w:rFonts w:ascii="Times New Roman" w:hAnsi="Times New Roman" w:cs="Times New Roman"/>
          <w:color w:val="000000"/>
          <w:sz w:val="24"/>
          <w:szCs w:val="24"/>
          <w:shd w:val="clear" w:color="auto" w:fill="FFFFFF"/>
        </w:rPr>
      </w:pPr>
      <w:r w:rsidRPr="00F91AB7">
        <w:rPr>
          <w:rFonts w:ascii="Times New Roman" w:hAnsi="Times New Roman" w:cs="Times New Roman"/>
          <w:color w:val="000000"/>
          <w:sz w:val="24"/>
          <w:szCs w:val="24"/>
          <w:shd w:val="clear" w:color="auto" w:fill="FFFFFF"/>
        </w:rPr>
        <w:t xml:space="preserve">Pagal teisės doktriną teisinio saugumo principas yra bendras visų teisės sistemų principas, </w:t>
      </w:r>
      <w:r w:rsidR="00CB292B" w:rsidRPr="00F91AB7">
        <w:rPr>
          <w:rFonts w:ascii="Times New Roman" w:hAnsi="Times New Roman" w:cs="Times New Roman"/>
          <w:color w:val="000000"/>
          <w:sz w:val="24"/>
          <w:szCs w:val="24"/>
          <w:shd w:val="clear" w:color="auto" w:fill="FFFFFF"/>
        </w:rPr>
        <w:t xml:space="preserve"> </w:t>
      </w:r>
      <w:r w:rsidRPr="00F91AB7">
        <w:rPr>
          <w:rFonts w:ascii="Times New Roman" w:hAnsi="Times New Roman" w:cs="Times New Roman"/>
          <w:color w:val="000000"/>
          <w:sz w:val="24"/>
          <w:szCs w:val="24"/>
          <w:shd w:val="clear" w:color="auto" w:fill="FFFFFF"/>
        </w:rPr>
        <w:t xml:space="preserve">apimantis šiuos elementus: teisės aiškumą, stabilumą, galėjimą įgyvendinti teises, teisės prieinamumą. </w:t>
      </w:r>
      <w:r w:rsidR="00916ACA" w:rsidRPr="00F91AB7">
        <w:rPr>
          <w:rFonts w:ascii="Times New Roman" w:hAnsi="Times New Roman" w:cs="Times New Roman"/>
          <w:color w:val="000000"/>
          <w:sz w:val="24"/>
          <w:szCs w:val="24"/>
          <w:shd w:val="clear" w:color="auto" w:fill="FFFFFF"/>
        </w:rPr>
        <w:t>T</w:t>
      </w:r>
      <w:r w:rsidRPr="00F91AB7">
        <w:rPr>
          <w:rFonts w:ascii="Times New Roman" w:hAnsi="Times New Roman" w:cs="Times New Roman"/>
          <w:color w:val="000000"/>
          <w:sz w:val="24"/>
          <w:szCs w:val="24"/>
          <w:shd w:val="clear" w:color="auto" w:fill="FFFFFF"/>
        </w:rPr>
        <w:t>eisinio saugumo lūkestis reiškia kiekvieno subjekto teisę į teisinę apsaugą</w:t>
      </w:r>
      <w:r w:rsidR="00916ACA" w:rsidRPr="00F91AB7">
        <w:rPr>
          <w:rFonts w:ascii="Times New Roman" w:hAnsi="Times New Roman" w:cs="Times New Roman"/>
          <w:color w:val="000000"/>
          <w:sz w:val="24"/>
          <w:szCs w:val="24"/>
          <w:shd w:val="clear" w:color="auto" w:fill="FFFFFF"/>
        </w:rPr>
        <w:t xml:space="preserve">, </w:t>
      </w:r>
      <w:r w:rsidR="00BA00CA">
        <w:rPr>
          <w:rFonts w:ascii="Times New Roman" w:hAnsi="Times New Roman" w:cs="Times New Roman"/>
          <w:color w:val="000000"/>
          <w:sz w:val="24"/>
          <w:szCs w:val="24"/>
          <w:shd w:val="clear" w:color="auto" w:fill="FFFFFF"/>
        </w:rPr>
        <w:t>o</w:t>
      </w:r>
      <w:r w:rsidR="00916ACA" w:rsidRPr="00F91AB7">
        <w:rPr>
          <w:rFonts w:ascii="Times New Roman" w:hAnsi="Times New Roman" w:cs="Times New Roman"/>
          <w:color w:val="000000"/>
          <w:sz w:val="24"/>
          <w:szCs w:val="24"/>
          <w:shd w:val="clear" w:color="auto" w:fill="FFFFFF"/>
        </w:rPr>
        <w:t xml:space="preserve"> platesne prasme </w:t>
      </w:r>
      <w:r w:rsidRPr="00F91AB7">
        <w:rPr>
          <w:rFonts w:ascii="Times New Roman" w:hAnsi="Times New Roman" w:cs="Times New Roman"/>
          <w:color w:val="000000"/>
          <w:sz w:val="24"/>
          <w:szCs w:val="24"/>
          <w:shd w:val="clear" w:color="auto" w:fill="FFFFFF"/>
        </w:rPr>
        <w:t>teisinis saugumas gali būti suprantamas kaip apimantis formalius ir materialius elementus. Pagal formalų teisinio s</w:t>
      </w:r>
      <w:r w:rsidR="0020270C" w:rsidRPr="00F91AB7">
        <w:rPr>
          <w:rFonts w:ascii="Times New Roman" w:hAnsi="Times New Roman" w:cs="Times New Roman"/>
          <w:color w:val="000000"/>
          <w:sz w:val="24"/>
          <w:szCs w:val="24"/>
          <w:shd w:val="clear" w:color="auto" w:fill="FFFFFF"/>
        </w:rPr>
        <w:t>a</w:t>
      </w:r>
      <w:r w:rsidRPr="00F91AB7">
        <w:rPr>
          <w:rFonts w:ascii="Times New Roman" w:hAnsi="Times New Roman" w:cs="Times New Roman"/>
          <w:color w:val="000000"/>
          <w:sz w:val="24"/>
          <w:szCs w:val="24"/>
          <w:shd w:val="clear" w:color="auto" w:fill="FFFFFF"/>
        </w:rPr>
        <w:t>ugumo aspektą teisės normos turi būti aiškios, kad galima būtų iš anksto nustatyti savo teises ir pareigas, o teismai turi vykdyti teisingumą priimdami motyvuotus sprendimus, kad asmenys galėtų racionaliai planuoti savo veiksmus. Materialus teisinio saugumo aspektas reiškia, kad nešališkas ir teisingas teismas turi taikyti leistinus teisės aiškinimo metodus, sprendimas turi būti priimamas remiantis faktais, argumentuotas ir priimtinas konkrečiu laik</w:t>
      </w:r>
      <w:r w:rsidR="00412FFD" w:rsidRPr="00F91AB7">
        <w:rPr>
          <w:rFonts w:ascii="Times New Roman" w:hAnsi="Times New Roman" w:cs="Times New Roman"/>
          <w:color w:val="000000"/>
          <w:sz w:val="24"/>
          <w:szCs w:val="24"/>
          <w:shd w:val="clear" w:color="auto" w:fill="FFFFFF"/>
        </w:rPr>
        <w:t xml:space="preserve">u konkrečioje visuomenėje. </w:t>
      </w:r>
    </w:p>
    <w:p w:rsidR="00412FFD" w:rsidRPr="00F91AB7" w:rsidRDefault="00412FFD" w:rsidP="00412FFD">
      <w:pPr>
        <w:shd w:val="clear" w:color="auto" w:fill="FFFFFF"/>
        <w:spacing w:after="0" w:line="240" w:lineRule="auto"/>
        <w:jc w:val="both"/>
        <w:rPr>
          <w:rFonts w:ascii="Times New Roman" w:hAnsi="Times New Roman" w:cs="Times New Roman"/>
          <w:color w:val="000000"/>
          <w:sz w:val="24"/>
          <w:szCs w:val="24"/>
          <w:shd w:val="clear" w:color="auto" w:fill="FFFFFF"/>
        </w:rPr>
      </w:pPr>
    </w:p>
    <w:p w:rsidR="009A2385" w:rsidRPr="00F91AB7" w:rsidRDefault="00095DB6" w:rsidP="00412FFD">
      <w:pPr>
        <w:shd w:val="clear" w:color="auto" w:fill="FFFFFF"/>
        <w:spacing w:after="0" w:line="240" w:lineRule="auto"/>
        <w:jc w:val="both"/>
        <w:rPr>
          <w:rFonts w:ascii="Times New Roman" w:eastAsia="Times New Roman" w:hAnsi="Times New Roman" w:cs="Times New Roman"/>
          <w:sz w:val="24"/>
          <w:szCs w:val="24"/>
          <w:lang w:eastAsia="lt-LT"/>
        </w:rPr>
      </w:pPr>
      <w:r w:rsidRPr="00F91AB7">
        <w:rPr>
          <w:rFonts w:ascii="Times New Roman" w:hAnsi="Times New Roman" w:cs="Times New Roman"/>
          <w:color w:val="000000"/>
          <w:sz w:val="24"/>
          <w:szCs w:val="24"/>
          <w:shd w:val="clear" w:color="auto" w:fill="FFFFFF"/>
        </w:rPr>
        <w:t xml:space="preserve">ES Teisingumo Teismo praktikoje teisinio saugumo principas yra suprantamas kaip „skėtinis“ principas, apimantis teisės akto negaliojimo atgaline data, įgytų teisių apsaugos ir teisėtų lūkesčių apsaugos principus. Pažymėtina, kad teisėtų lūkesčių apsaugos principas yra subjektyvusis teisinio saugumo principo aspektas. Tai yra, teisėtų lūkesčių apsaugos principas išvestinas iš teisinio saugumo principo, kuris reikalauja, kad ES teisės aktai asmenims būtų aiškūs, o jų taikymas – numatomas. </w:t>
      </w:r>
      <w:r w:rsidR="00412FFD" w:rsidRPr="00F91AB7">
        <w:rPr>
          <w:rFonts w:ascii="Times New Roman" w:hAnsi="Times New Roman" w:cs="Times New Roman"/>
          <w:color w:val="000000"/>
          <w:sz w:val="24"/>
          <w:szCs w:val="24"/>
          <w:shd w:val="clear" w:color="auto" w:fill="FFFFFF"/>
        </w:rPr>
        <w:t xml:space="preserve">ES Teisingumo Teismo praktikoje teisinio saugumo principas </w:t>
      </w:r>
      <w:r w:rsidRPr="00F91AB7">
        <w:rPr>
          <w:rFonts w:ascii="Times New Roman" w:hAnsi="Times New Roman" w:cs="Times New Roman"/>
          <w:color w:val="000000"/>
          <w:sz w:val="24"/>
          <w:szCs w:val="24"/>
          <w:shd w:val="clear" w:color="auto" w:fill="FFFFFF"/>
        </w:rPr>
        <w:t xml:space="preserve">taip pat </w:t>
      </w:r>
      <w:r w:rsidR="00412FFD" w:rsidRPr="00F91AB7">
        <w:rPr>
          <w:rFonts w:ascii="Times New Roman" w:hAnsi="Times New Roman" w:cs="Times New Roman"/>
          <w:color w:val="000000"/>
          <w:sz w:val="24"/>
          <w:szCs w:val="24"/>
          <w:shd w:val="clear" w:color="auto" w:fill="FFFFFF"/>
        </w:rPr>
        <w:t>reiškia, kad ES teisės normos turi būti aiškios, tikslios, o jų pasekmės – nuspėjamos. E</w:t>
      </w:r>
      <w:r w:rsidR="0020270C" w:rsidRPr="00F91AB7">
        <w:rPr>
          <w:rFonts w:ascii="Times New Roman" w:hAnsi="Times New Roman" w:cs="Times New Roman"/>
          <w:color w:val="000000"/>
          <w:sz w:val="24"/>
          <w:szCs w:val="24"/>
          <w:shd w:val="clear" w:color="auto" w:fill="FFFFFF"/>
        </w:rPr>
        <w:t>S teisės nuostata ir jos veikima</w:t>
      </w:r>
      <w:r w:rsidR="00412FFD" w:rsidRPr="00F91AB7">
        <w:rPr>
          <w:rFonts w:ascii="Times New Roman" w:hAnsi="Times New Roman" w:cs="Times New Roman"/>
          <w:color w:val="000000"/>
          <w:sz w:val="24"/>
          <w:szCs w:val="24"/>
          <w:shd w:val="clear" w:color="auto" w:fill="FFFFFF"/>
        </w:rPr>
        <w:t>s turi būti aiškus, suprantamas, kad kiekvienas subjektas galėtų iš anksto nustatyti savo teises ir pareigas, tiksliai žinoti nustatytų teisių ir pareigų turinį ir atitinkamai imtis veiks</w:t>
      </w:r>
      <w:r w:rsidRPr="00F91AB7">
        <w:rPr>
          <w:rFonts w:ascii="Times New Roman" w:hAnsi="Times New Roman" w:cs="Times New Roman"/>
          <w:color w:val="000000"/>
          <w:sz w:val="24"/>
          <w:szCs w:val="24"/>
          <w:shd w:val="clear" w:color="auto" w:fill="FFFFFF"/>
        </w:rPr>
        <w:t xml:space="preserve">mų. </w:t>
      </w:r>
    </w:p>
    <w:p w:rsidR="00E86ACC" w:rsidRPr="00F91AB7" w:rsidRDefault="00E86ACC" w:rsidP="006F1AB8">
      <w:pPr>
        <w:shd w:val="clear" w:color="auto" w:fill="FFFFFF"/>
        <w:spacing w:after="0" w:line="240" w:lineRule="auto"/>
        <w:jc w:val="both"/>
        <w:rPr>
          <w:rFonts w:ascii="Times New Roman" w:eastAsia="Times New Roman" w:hAnsi="Times New Roman" w:cs="Times New Roman"/>
          <w:sz w:val="24"/>
          <w:szCs w:val="24"/>
          <w:lang w:eastAsia="lt-LT"/>
        </w:rPr>
      </w:pPr>
    </w:p>
    <w:p w:rsidR="00EA261F" w:rsidRPr="00BA00CA" w:rsidRDefault="00333DF8" w:rsidP="006F1AB8">
      <w:pPr>
        <w:shd w:val="clear" w:color="auto" w:fill="FFFFFF"/>
        <w:spacing w:after="0" w:line="240" w:lineRule="auto"/>
        <w:jc w:val="both"/>
        <w:rPr>
          <w:rFonts w:ascii="Times New Roman" w:eastAsia="Times New Roman" w:hAnsi="Times New Roman" w:cs="Times New Roman"/>
          <w:sz w:val="24"/>
          <w:szCs w:val="24"/>
          <w:lang w:eastAsia="lt-LT"/>
        </w:rPr>
      </w:pPr>
      <w:r w:rsidRPr="00F91AB7">
        <w:rPr>
          <w:rFonts w:ascii="Times New Roman" w:eastAsia="Times New Roman" w:hAnsi="Times New Roman" w:cs="Times New Roman"/>
          <w:sz w:val="24"/>
          <w:szCs w:val="24"/>
          <w:lang w:eastAsia="lt-LT"/>
        </w:rPr>
        <w:t>Pagal Konstitucinio teismo jurisprudenciją</w:t>
      </w:r>
      <w:r w:rsidRPr="00F91AB7">
        <w:rPr>
          <w:rStyle w:val="FootnoteReference"/>
          <w:rFonts w:ascii="Times New Roman" w:eastAsia="Times New Roman" w:hAnsi="Times New Roman" w:cs="Times New Roman"/>
          <w:sz w:val="24"/>
          <w:szCs w:val="24"/>
          <w:lang w:eastAsia="lt-LT"/>
        </w:rPr>
        <w:footnoteReference w:id="2"/>
      </w:r>
      <w:r w:rsidRPr="00F91AB7">
        <w:rPr>
          <w:rFonts w:ascii="Times New Roman" w:eastAsia="Times New Roman" w:hAnsi="Times New Roman" w:cs="Times New Roman"/>
          <w:sz w:val="24"/>
          <w:szCs w:val="24"/>
          <w:lang w:eastAsia="lt-LT"/>
        </w:rPr>
        <w:t xml:space="preserve"> </w:t>
      </w:r>
      <w:r w:rsidR="00C4335A" w:rsidRPr="00BA00CA">
        <w:rPr>
          <w:rFonts w:ascii="Times New Roman" w:hAnsi="Times New Roman" w:cs="Times New Roman"/>
          <w:sz w:val="24"/>
          <w:szCs w:val="24"/>
          <w:shd w:val="clear" w:color="auto" w:fill="FFFFFF"/>
        </w:rPr>
        <w:t>teisinio saugumo principas yra vienas iš esminių Konstitucijoje įtvirtinto teisinės valstybės principo elementų. Jis reiškia valstybės pareigą užtikrinti teisinio reguliavimo tikrumą ir stabilumą, apsaugoti teisinių santykių subjektų teises, taip pat įgytas teises, gerbti teisėtus int</w:t>
      </w:r>
      <w:r w:rsidR="00501BDC" w:rsidRPr="00BA00CA">
        <w:rPr>
          <w:rFonts w:ascii="Times New Roman" w:hAnsi="Times New Roman" w:cs="Times New Roman"/>
          <w:sz w:val="24"/>
          <w:szCs w:val="24"/>
          <w:shd w:val="clear" w:color="auto" w:fill="FFFFFF"/>
        </w:rPr>
        <w:t>eresus bei teisėtus lūkesčius. Teisinio s</w:t>
      </w:r>
      <w:r w:rsidR="00DE328B">
        <w:rPr>
          <w:rFonts w:ascii="Times New Roman" w:hAnsi="Times New Roman" w:cs="Times New Roman"/>
          <w:sz w:val="24"/>
          <w:szCs w:val="24"/>
          <w:shd w:val="clear" w:color="auto" w:fill="FFFFFF"/>
        </w:rPr>
        <w:t>a</w:t>
      </w:r>
      <w:r w:rsidR="00501BDC" w:rsidRPr="00BA00CA">
        <w:rPr>
          <w:rFonts w:ascii="Times New Roman" w:hAnsi="Times New Roman" w:cs="Times New Roman"/>
          <w:sz w:val="24"/>
          <w:szCs w:val="24"/>
          <w:shd w:val="clear" w:color="auto" w:fill="FFFFFF"/>
        </w:rPr>
        <w:t>ugumo principo paskirtis yra</w:t>
      </w:r>
      <w:r w:rsidR="00C4335A" w:rsidRPr="00BA00CA">
        <w:rPr>
          <w:rFonts w:ascii="Times New Roman" w:hAnsi="Times New Roman" w:cs="Times New Roman"/>
          <w:sz w:val="24"/>
          <w:szCs w:val="24"/>
          <w:shd w:val="clear" w:color="auto" w:fill="FFFFFF"/>
        </w:rPr>
        <w:t xml:space="preserve"> laiduoti asmens pasitikėjimą savo valstybe ir teise.</w:t>
      </w:r>
      <w:r w:rsidR="00CA37C4">
        <w:rPr>
          <w:rFonts w:ascii="Times New Roman" w:hAnsi="Times New Roman" w:cs="Times New Roman"/>
          <w:sz w:val="24"/>
          <w:szCs w:val="24"/>
          <w:shd w:val="clear" w:color="auto" w:fill="FFFFFF"/>
        </w:rPr>
        <w:t xml:space="preserve"> Įdomu tai, kad a</w:t>
      </w:r>
      <w:r w:rsidR="00C4335A" w:rsidRPr="00BA00CA">
        <w:rPr>
          <w:rFonts w:ascii="Times New Roman" w:hAnsi="Times New Roman" w:cs="Times New Roman"/>
          <w:sz w:val="24"/>
          <w:szCs w:val="24"/>
          <w:shd w:val="clear" w:color="auto" w:fill="FFFFFF"/>
        </w:rPr>
        <w:t>nalizuo</w:t>
      </w:r>
      <w:r w:rsidR="00501BDC" w:rsidRPr="00BA00CA">
        <w:rPr>
          <w:rFonts w:ascii="Times New Roman" w:hAnsi="Times New Roman" w:cs="Times New Roman"/>
          <w:sz w:val="24"/>
          <w:szCs w:val="24"/>
          <w:shd w:val="clear" w:color="auto" w:fill="FFFFFF"/>
        </w:rPr>
        <w:t>damas</w:t>
      </w:r>
      <w:r w:rsidR="00C4335A" w:rsidRPr="00BA00CA">
        <w:rPr>
          <w:rFonts w:ascii="Times New Roman" w:hAnsi="Times New Roman" w:cs="Times New Roman"/>
          <w:sz w:val="24"/>
          <w:szCs w:val="24"/>
          <w:shd w:val="clear" w:color="auto" w:fill="FFFFFF"/>
        </w:rPr>
        <w:t xml:space="preserve"> šį principą</w:t>
      </w:r>
      <w:r w:rsidR="00CA37C4">
        <w:rPr>
          <w:rFonts w:ascii="Times New Roman" w:hAnsi="Times New Roman" w:cs="Times New Roman"/>
          <w:sz w:val="24"/>
          <w:szCs w:val="24"/>
          <w:shd w:val="clear" w:color="auto" w:fill="FFFFFF"/>
        </w:rPr>
        <w:t xml:space="preserve"> </w:t>
      </w:r>
      <w:r w:rsidR="00501BDC" w:rsidRPr="00BA00CA">
        <w:rPr>
          <w:rFonts w:ascii="Times New Roman" w:hAnsi="Times New Roman" w:cs="Times New Roman"/>
          <w:sz w:val="24"/>
          <w:szCs w:val="24"/>
          <w:shd w:val="clear" w:color="auto" w:fill="FFFFFF"/>
        </w:rPr>
        <w:lastRenderedPageBreak/>
        <w:t>konstitucinis teismas išskyrė du aspektus</w:t>
      </w:r>
      <w:r w:rsidR="00C4335A" w:rsidRPr="00BA00CA">
        <w:rPr>
          <w:rFonts w:ascii="Times New Roman" w:hAnsi="Times New Roman" w:cs="Times New Roman"/>
          <w:sz w:val="24"/>
          <w:szCs w:val="24"/>
          <w:shd w:val="clear" w:color="auto" w:fill="FFFFFF"/>
        </w:rPr>
        <w:t>. Pirma, teisinio saugumo imperatyvas suponuoja tam tikrus privalomus reikalavimus pačiam teisiniam reguliavimui</w:t>
      </w:r>
      <w:r w:rsidR="002D7048" w:rsidRPr="00BA00CA">
        <w:rPr>
          <w:rFonts w:ascii="Times New Roman" w:hAnsi="Times New Roman" w:cs="Times New Roman"/>
          <w:sz w:val="24"/>
          <w:szCs w:val="24"/>
          <w:shd w:val="clear" w:color="auto" w:fill="FFFFFF"/>
        </w:rPr>
        <w:t xml:space="preserve"> (j</w:t>
      </w:r>
      <w:r w:rsidR="00C4335A" w:rsidRPr="00BA00CA">
        <w:rPr>
          <w:rFonts w:ascii="Times New Roman" w:hAnsi="Times New Roman" w:cs="Times New Roman"/>
          <w:sz w:val="24"/>
          <w:szCs w:val="24"/>
          <w:shd w:val="clear" w:color="auto" w:fill="FFFFFF"/>
        </w:rPr>
        <w:t>is privalo būti aiškus ir darnus, teisės normos turi būti formuluojamos tiksliai</w:t>
      </w:r>
      <w:r w:rsidR="00CA37C4">
        <w:rPr>
          <w:rFonts w:ascii="Times New Roman" w:hAnsi="Times New Roman" w:cs="Times New Roman"/>
          <w:sz w:val="24"/>
          <w:szCs w:val="24"/>
          <w:shd w:val="clear" w:color="auto" w:fill="FFFFFF"/>
        </w:rPr>
        <w:t xml:space="preserve">, </w:t>
      </w:r>
      <w:r w:rsidR="002D7048" w:rsidRPr="00BA00CA">
        <w:rPr>
          <w:rFonts w:ascii="Times New Roman" w:hAnsi="Times New Roman" w:cs="Times New Roman"/>
          <w:sz w:val="24"/>
          <w:szCs w:val="24"/>
          <w:shd w:val="clear" w:color="auto" w:fill="FFFFFF"/>
        </w:rPr>
        <w:t>teisės norminiai aktai turi būti nustatyta tvarka paskelbiami ir t.t.)</w:t>
      </w:r>
      <w:r w:rsidR="00C4335A" w:rsidRPr="00BA00CA">
        <w:rPr>
          <w:rFonts w:ascii="Times New Roman" w:hAnsi="Times New Roman" w:cs="Times New Roman"/>
          <w:sz w:val="24"/>
          <w:szCs w:val="24"/>
          <w:shd w:val="clear" w:color="auto" w:fill="FFFFFF"/>
        </w:rPr>
        <w:t>.</w:t>
      </w:r>
      <w:r w:rsidR="002D7048" w:rsidRPr="00BA00CA">
        <w:rPr>
          <w:rFonts w:ascii="Times New Roman" w:hAnsi="Times New Roman" w:cs="Times New Roman"/>
          <w:sz w:val="24"/>
          <w:szCs w:val="24"/>
          <w:shd w:val="clear" w:color="auto" w:fill="FFFFFF"/>
        </w:rPr>
        <w:t xml:space="preserve"> Vis dėlto, šiandien </w:t>
      </w:r>
      <w:r w:rsidR="00CA37C4">
        <w:rPr>
          <w:rFonts w:ascii="Times New Roman" w:hAnsi="Times New Roman" w:cs="Times New Roman"/>
          <w:sz w:val="24"/>
          <w:szCs w:val="24"/>
          <w:shd w:val="clear" w:color="auto" w:fill="FFFFFF"/>
        </w:rPr>
        <w:t xml:space="preserve">mums </w:t>
      </w:r>
      <w:r w:rsidR="002D7048" w:rsidRPr="00BA00CA">
        <w:rPr>
          <w:rFonts w:ascii="Times New Roman" w:hAnsi="Times New Roman" w:cs="Times New Roman"/>
          <w:sz w:val="24"/>
          <w:szCs w:val="24"/>
          <w:shd w:val="clear" w:color="auto" w:fill="FFFFFF"/>
        </w:rPr>
        <w:t xml:space="preserve">kur kas </w:t>
      </w:r>
      <w:r w:rsidR="00CA37C4">
        <w:rPr>
          <w:rFonts w:ascii="Times New Roman" w:hAnsi="Times New Roman" w:cs="Times New Roman"/>
          <w:sz w:val="24"/>
          <w:szCs w:val="24"/>
          <w:shd w:val="clear" w:color="auto" w:fill="FFFFFF"/>
        </w:rPr>
        <w:t xml:space="preserve">aktualesnis </w:t>
      </w:r>
      <w:r w:rsidR="004471DB">
        <w:rPr>
          <w:rFonts w:ascii="Times New Roman" w:hAnsi="Times New Roman" w:cs="Times New Roman"/>
          <w:sz w:val="24"/>
          <w:szCs w:val="24"/>
          <w:shd w:val="clear" w:color="auto" w:fill="FFFFFF"/>
        </w:rPr>
        <w:t>antrasis K</w:t>
      </w:r>
      <w:r w:rsidR="002D7048" w:rsidRPr="00BA00CA">
        <w:rPr>
          <w:rFonts w:ascii="Times New Roman" w:hAnsi="Times New Roman" w:cs="Times New Roman"/>
          <w:sz w:val="24"/>
          <w:szCs w:val="24"/>
          <w:shd w:val="clear" w:color="auto" w:fill="FFFFFF"/>
        </w:rPr>
        <w:t xml:space="preserve">onstitucinio teismo išskirtas aspektas - teismas </w:t>
      </w:r>
      <w:r w:rsidR="002D7048" w:rsidRPr="00BA00CA">
        <w:rPr>
          <w:rFonts w:ascii="Times New Roman" w:hAnsi="Times New Roman" w:cs="Times New Roman"/>
          <w:i/>
          <w:sz w:val="24"/>
          <w:szCs w:val="24"/>
          <w:shd w:val="clear" w:color="auto" w:fill="FFFFFF"/>
        </w:rPr>
        <w:t>expressis verbis</w:t>
      </w:r>
      <w:r w:rsidR="002D7048" w:rsidRPr="00BA00CA">
        <w:rPr>
          <w:rFonts w:ascii="Times New Roman" w:hAnsi="Times New Roman" w:cs="Times New Roman"/>
          <w:sz w:val="24"/>
          <w:szCs w:val="24"/>
          <w:shd w:val="clear" w:color="auto" w:fill="FFFFFF"/>
        </w:rPr>
        <w:t xml:space="preserve"> nurodė, kad p</w:t>
      </w:r>
      <w:r w:rsidR="00C4335A" w:rsidRPr="00BA00CA">
        <w:rPr>
          <w:rFonts w:ascii="Times New Roman" w:hAnsi="Times New Roman" w:cs="Times New Roman"/>
          <w:sz w:val="24"/>
          <w:szCs w:val="24"/>
          <w:shd w:val="clear" w:color="auto" w:fill="FFFFFF"/>
        </w:rPr>
        <w:t xml:space="preserve">agal šį principą teisinį reguliavimą galima keisti tik laikantis iš anksto nustatytos tvarkos ir nepažeidžiant Konstitucijos principų ir normų, </w:t>
      </w:r>
      <w:r w:rsidR="002D7048" w:rsidRPr="00BA00CA">
        <w:rPr>
          <w:rFonts w:ascii="Times New Roman" w:hAnsi="Times New Roman" w:cs="Times New Roman"/>
          <w:sz w:val="24"/>
          <w:szCs w:val="24"/>
          <w:shd w:val="clear" w:color="auto" w:fill="FFFFFF"/>
        </w:rPr>
        <w:t xml:space="preserve">be to, šis principas reikalauja, kad būtų </w:t>
      </w:r>
      <w:r w:rsidR="00C4335A" w:rsidRPr="00BA00CA">
        <w:rPr>
          <w:rFonts w:ascii="Times New Roman" w:hAnsi="Times New Roman" w:cs="Times New Roman"/>
          <w:sz w:val="24"/>
          <w:szCs w:val="24"/>
          <w:shd w:val="clear" w:color="auto" w:fill="FFFFFF"/>
        </w:rPr>
        <w:t>užtikrin</w:t>
      </w:r>
      <w:r w:rsidR="002D7048" w:rsidRPr="00BA00CA">
        <w:rPr>
          <w:rFonts w:ascii="Times New Roman" w:hAnsi="Times New Roman" w:cs="Times New Roman"/>
          <w:sz w:val="24"/>
          <w:szCs w:val="24"/>
          <w:shd w:val="clear" w:color="auto" w:fill="FFFFFF"/>
        </w:rPr>
        <w:t>tas</w:t>
      </w:r>
      <w:r w:rsidR="00C4335A" w:rsidRPr="00BA00CA">
        <w:rPr>
          <w:rFonts w:ascii="Times New Roman" w:hAnsi="Times New Roman" w:cs="Times New Roman"/>
          <w:sz w:val="24"/>
          <w:szCs w:val="24"/>
          <w:shd w:val="clear" w:color="auto" w:fill="FFFFFF"/>
        </w:rPr>
        <w:t xml:space="preserve"> jurisprudencijos tęstinumas.</w:t>
      </w:r>
    </w:p>
    <w:p w:rsidR="00EA261F" w:rsidRPr="00F91AB7" w:rsidRDefault="00EA261F" w:rsidP="006F1AB8">
      <w:pPr>
        <w:shd w:val="clear" w:color="auto" w:fill="FFFFFF"/>
        <w:spacing w:after="0" w:line="240" w:lineRule="auto"/>
        <w:jc w:val="both"/>
        <w:rPr>
          <w:rFonts w:ascii="Times New Roman" w:eastAsia="Times New Roman" w:hAnsi="Times New Roman" w:cs="Times New Roman"/>
          <w:sz w:val="24"/>
          <w:szCs w:val="24"/>
          <w:lang w:eastAsia="lt-LT"/>
        </w:rPr>
      </w:pPr>
    </w:p>
    <w:p w:rsidR="005D5627" w:rsidRPr="00F91AB7" w:rsidRDefault="007363E7" w:rsidP="006F1AB8">
      <w:pPr>
        <w:shd w:val="clear" w:color="auto" w:fill="FFFFFF"/>
        <w:spacing w:after="0" w:line="240" w:lineRule="auto"/>
        <w:jc w:val="both"/>
        <w:rPr>
          <w:rFonts w:ascii="Times New Roman" w:hAnsi="Times New Roman" w:cs="Times New Roman"/>
          <w:color w:val="000000"/>
          <w:sz w:val="24"/>
          <w:szCs w:val="24"/>
          <w:shd w:val="clear" w:color="auto" w:fill="FFFFFF"/>
        </w:rPr>
      </w:pPr>
      <w:r w:rsidRPr="00F91AB7">
        <w:rPr>
          <w:rFonts w:ascii="Times New Roman" w:eastAsia="Times New Roman" w:hAnsi="Times New Roman" w:cs="Times New Roman"/>
          <w:sz w:val="24"/>
          <w:szCs w:val="24"/>
          <w:lang w:eastAsia="lt-LT"/>
        </w:rPr>
        <w:t>Apibendrinant aptartas teisinio s</w:t>
      </w:r>
      <w:r w:rsidR="00501BDC" w:rsidRPr="00F91AB7">
        <w:rPr>
          <w:rFonts w:ascii="Times New Roman" w:eastAsia="Times New Roman" w:hAnsi="Times New Roman" w:cs="Times New Roman"/>
          <w:sz w:val="24"/>
          <w:szCs w:val="24"/>
          <w:lang w:eastAsia="lt-LT"/>
        </w:rPr>
        <w:t>augumo principo aiškinimo koncep</w:t>
      </w:r>
      <w:r w:rsidRPr="00F91AB7">
        <w:rPr>
          <w:rFonts w:ascii="Times New Roman" w:eastAsia="Times New Roman" w:hAnsi="Times New Roman" w:cs="Times New Roman"/>
          <w:sz w:val="24"/>
          <w:szCs w:val="24"/>
          <w:lang w:eastAsia="lt-LT"/>
        </w:rPr>
        <w:t xml:space="preserve">cijas, </w:t>
      </w:r>
      <w:r w:rsidR="00121EFE" w:rsidRPr="00F91AB7">
        <w:rPr>
          <w:rFonts w:ascii="Times New Roman" w:eastAsia="Times New Roman" w:hAnsi="Times New Roman" w:cs="Times New Roman"/>
          <w:sz w:val="24"/>
          <w:szCs w:val="24"/>
          <w:lang w:eastAsia="lt-LT"/>
        </w:rPr>
        <w:t>pastebėtina</w:t>
      </w:r>
      <w:r w:rsidRPr="00F91AB7">
        <w:rPr>
          <w:rFonts w:ascii="Times New Roman" w:eastAsia="Times New Roman" w:hAnsi="Times New Roman" w:cs="Times New Roman"/>
          <w:sz w:val="24"/>
          <w:szCs w:val="24"/>
          <w:lang w:eastAsia="lt-LT"/>
        </w:rPr>
        <w:t xml:space="preserve">, kad </w:t>
      </w:r>
      <w:r w:rsidR="00501BDC" w:rsidRPr="00F91AB7">
        <w:rPr>
          <w:rFonts w:ascii="Times New Roman" w:eastAsia="Times New Roman" w:hAnsi="Times New Roman" w:cs="Times New Roman"/>
          <w:sz w:val="24"/>
          <w:szCs w:val="24"/>
          <w:lang w:eastAsia="lt-LT"/>
        </w:rPr>
        <w:t>tai</w:t>
      </w:r>
      <w:r w:rsidR="00EA261F" w:rsidRPr="00F91AB7">
        <w:rPr>
          <w:rFonts w:ascii="Times New Roman" w:eastAsia="Times New Roman" w:hAnsi="Times New Roman" w:cs="Times New Roman"/>
          <w:sz w:val="24"/>
          <w:szCs w:val="24"/>
          <w:lang w:eastAsia="lt-LT"/>
        </w:rPr>
        <w:t xml:space="preserve"> yra sudėtinis</w:t>
      </w:r>
      <w:r w:rsidR="00BF6CA6">
        <w:rPr>
          <w:rFonts w:ascii="Times New Roman" w:eastAsia="Times New Roman" w:hAnsi="Times New Roman" w:cs="Times New Roman"/>
          <w:sz w:val="24"/>
          <w:szCs w:val="24"/>
          <w:lang w:eastAsia="lt-LT"/>
        </w:rPr>
        <w:t xml:space="preserve"> principas</w:t>
      </w:r>
      <w:r w:rsidR="00EA261F" w:rsidRPr="00F91AB7">
        <w:rPr>
          <w:rFonts w:ascii="Times New Roman" w:eastAsia="Times New Roman" w:hAnsi="Times New Roman" w:cs="Times New Roman"/>
          <w:sz w:val="24"/>
          <w:szCs w:val="24"/>
          <w:lang w:eastAsia="lt-LT"/>
        </w:rPr>
        <w:t xml:space="preserve">, kurio vienas iš svarbiausių elementų yra </w:t>
      </w:r>
      <w:r w:rsidR="0020270C" w:rsidRPr="00F91AB7">
        <w:rPr>
          <w:rFonts w:ascii="Times New Roman" w:eastAsia="Times New Roman" w:hAnsi="Times New Roman" w:cs="Times New Roman"/>
          <w:sz w:val="24"/>
          <w:szCs w:val="24"/>
          <w:lang w:eastAsia="lt-LT"/>
        </w:rPr>
        <w:t>stabilum</w:t>
      </w:r>
      <w:r w:rsidR="00BF6CA6">
        <w:rPr>
          <w:rFonts w:ascii="Times New Roman" w:eastAsia="Times New Roman" w:hAnsi="Times New Roman" w:cs="Times New Roman"/>
          <w:sz w:val="24"/>
          <w:szCs w:val="24"/>
          <w:lang w:eastAsia="lt-LT"/>
        </w:rPr>
        <w:t>o</w:t>
      </w:r>
      <w:r w:rsidR="00EA261F" w:rsidRPr="00F91AB7">
        <w:rPr>
          <w:rFonts w:ascii="Times New Roman" w:eastAsia="Times New Roman" w:hAnsi="Times New Roman" w:cs="Times New Roman"/>
          <w:sz w:val="24"/>
          <w:szCs w:val="24"/>
          <w:lang w:eastAsia="lt-LT"/>
        </w:rPr>
        <w:t xml:space="preserve"> ir </w:t>
      </w:r>
      <w:r w:rsidR="0020270C" w:rsidRPr="00F91AB7">
        <w:rPr>
          <w:rFonts w:ascii="Times New Roman" w:eastAsia="Times New Roman" w:hAnsi="Times New Roman" w:cs="Times New Roman"/>
          <w:sz w:val="24"/>
          <w:szCs w:val="24"/>
          <w:lang w:eastAsia="lt-LT"/>
        </w:rPr>
        <w:t>nuspėj</w:t>
      </w:r>
      <w:r w:rsidR="00EA261F" w:rsidRPr="00F91AB7">
        <w:rPr>
          <w:rFonts w:ascii="Times New Roman" w:eastAsia="Times New Roman" w:hAnsi="Times New Roman" w:cs="Times New Roman"/>
          <w:sz w:val="24"/>
          <w:szCs w:val="24"/>
          <w:lang w:eastAsia="lt-LT"/>
        </w:rPr>
        <w:t>amum</w:t>
      </w:r>
      <w:r w:rsidR="00BF6CA6">
        <w:rPr>
          <w:rFonts w:ascii="Times New Roman" w:eastAsia="Times New Roman" w:hAnsi="Times New Roman" w:cs="Times New Roman"/>
          <w:sz w:val="24"/>
          <w:szCs w:val="24"/>
          <w:lang w:eastAsia="lt-LT"/>
        </w:rPr>
        <w:t>o (numatomumo</w:t>
      </w:r>
      <w:r w:rsidR="00EA261F" w:rsidRPr="00F91AB7">
        <w:rPr>
          <w:rFonts w:ascii="Times New Roman" w:eastAsia="Times New Roman" w:hAnsi="Times New Roman" w:cs="Times New Roman"/>
          <w:sz w:val="24"/>
          <w:szCs w:val="24"/>
          <w:lang w:eastAsia="lt-LT"/>
        </w:rPr>
        <w:t>)</w:t>
      </w:r>
      <w:r w:rsidR="00BF6CA6">
        <w:rPr>
          <w:rFonts w:ascii="Times New Roman" w:eastAsia="Times New Roman" w:hAnsi="Times New Roman" w:cs="Times New Roman"/>
          <w:sz w:val="24"/>
          <w:szCs w:val="24"/>
          <w:lang w:eastAsia="lt-LT"/>
        </w:rPr>
        <w:t xml:space="preserve"> užtikrinimas</w:t>
      </w:r>
      <w:r w:rsidR="0020270C" w:rsidRPr="00F91AB7">
        <w:rPr>
          <w:rFonts w:ascii="Times New Roman" w:eastAsia="Times New Roman" w:hAnsi="Times New Roman" w:cs="Times New Roman"/>
          <w:sz w:val="24"/>
          <w:szCs w:val="24"/>
          <w:lang w:eastAsia="lt-LT"/>
        </w:rPr>
        <w:t xml:space="preserve">. </w:t>
      </w:r>
      <w:r w:rsidR="00095DB6" w:rsidRPr="00F91AB7">
        <w:rPr>
          <w:rFonts w:ascii="Times New Roman" w:eastAsia="Times New Roman" w:hAnsi="Times New Roman" w:cs="Times New Roman"/>
          <w:sz w:val="24"/>
          <w:szCs w:val="24"/>
          <w:lang w:eastAsia="lt-LT"/>
        </w:rPr>
        <w:t xml:space="preserve">Tuo tarpu teismo precedento vienas iš svarbiausių elementų yra ne kas kita, o </w:t>
      </w:r>
      <w:r w:rsidR="004471DB" w:rsidRPr="00F91AB7">
        <w:rPr>
          <w:rFonts w:ascii="Times New Roman" w:eastAsia="Times New Roman" w:hAnsi="Times New Roman" w:cs="Times New Roman"/>
          <w:sz w:val="24"/>
          <w:szCs w:val="24"/>
          <w:lang w:eastAsia="lt-LT"/>
        </w:rPr>
        <w:t>teismų sprendimų prognozuojamumas</w:t>
      </w:r>
      <w:r w:rsidR="004471DB">
        <w:rPr>
          <w:rFonts w:ascii="Times New Roman" w:eastAsia="Times New Roman" w:hAnsi="Times New Roman" w:cs="Times New Roman"/>
          <w:sz w:val="24"/>
          <w:szCs w:val="24"/>
          <w:lang w:eastAsia="lt-LT"/>
        </w:rPr>
        <w:t xml:space="preserve"> ir jurisprudencijos tęstinumas</w:t>
      </w:r>
      <w:r w:rsidR="00095DB6" w:rsidRPr="00F91AB7">
        <w:rPr>
          <w:rFonts w:ascii="Times New Roman" w:eastAsia="Times New Roman" w:hAnsi="Times New Roman" w:cs="Times New Roman"/>
          <w:sz w:val="24"/>
          <w:szCs w:val="24"/>
          <w:lang w:eastAsia="lt-LT"/>
        </w:rPr>
        <w:t xml:space="preserve">. </w:t>
      </w:r>
      <w:r w:rsidR="00EA261F" w:rsidRPr="00F91AB7">
        <w:rPr>
          <w:rFonts w:ascii="Times New Roman" w:eastAsia="Times New Roman" w:hAnsi="Times New Roman" w:cs="Times New Roman"/>
          <w:sz w:val="24"/>
          <w:szCs w:val="24"/>
          <w:lang w:eastAsia="lt-LT"/>
        </w:rPr>
        <w:t xml:space="preserve">Akivaizdu, kad </w:t>
      </w:r>
      <w:r w:rsidR="009A2127" w:rsidRPr="00F91AB7">
        <w:rPr>
          <w:rFonts w:ascii="Times New Roman" w:eastAsia="Times New Roman" w:hAnsi="Times New Roman" w:cs="Times New Roman"/>
          <w:sz w:val="24"/>
          <w:szCs w:val="24"/>
          <w:lang w:eastAsia="lt-LT"/>
        </w:rPr>
        <w:t>teisinio saugumo princip</w:t>
      </w:r>
      <w:r w:rsidR="00121EFE" w:rsidRPr="00F91AB7">
        <w:rPr>
          <w:rFonts w:ascii="Times New Roman" w:eastAsia="Times New Roman" w:hAnsi="Times New Roman" w:cs="Times New Roman"/>
          <w:sz w:val="24"/>
          <w:szCs w:val="24"/>
          <w:lang w:eastAsia="lt-LT"/>
        </w:rPr>
        <w:t>u</w:t>
      </w:r>
      <w:r w:rsidR="00EA261F" w:rsidRPr="00F91AB7">
        <w:rPr>
          <w:rFonts w:ascii="Times New Roman" w:eastAsia="Times New Roman" w:hAnsi="Times New Roman" w:cs="Times New Roman"/>
          <w:sz w:val="24"/>
          <w:szCs w:val="24"/>
          <w:lang w:eastAsia="lt-LT"/>
        </w:rPr>
        <w:t xml:space="preserve"> ir </w:t>
      </w:r>
      <w:r w:rsidR="00121EFE" w:rsidRPr="00F91AB7">
        <w:rPr>
          <w:rFonts w:ascii="Times New Roman" w:eastAsia="Times New Roman" w:hAnsi="Times New Roman" w:cs="Times New Roman"/>
          <w:sz w:val="24"/>
          <w:szCs w:val="24"/>
          <w:lang w:eastAsia="lt-LT"/>
        </w:rPr>
        <w:t xml:space="preserve">reikalavimu formuoti vienodą teismų praktiką </w:t>
      </w:r>
      <w:r w:rsidR="00501BDC" w:rsidRPr="00F91AB7">
        <w:rPr>
          <w:rFonts w:ascii="Times New Roman" w:eastAsia="Times New Roman" w:hAnsi="Times New Roman" w:cs="Times New Roman"/>
          <w:sz w:val="24"/>
          <w:szCs w:val="24"/>
          <w:lang w:eastAsia="lt-LT"/>
        </w:rPr>
        <w:t xml:space="preserve">siekiama </w:t>
      </w:r>
      <w:r w:rsidR="00095DB6" w:rsidRPr="00F91AB7">
        <w:rPr>
          <w:rFonts w:ascii="Times New Roman" w:eastAsia="Times New Roman" w:hAnsi="Times New Roman" w:cs="Times New Roman"/>
          <w:sz w:val="24"/>
          <w:szCs w:val="24"/>
          <w:lang w:eastAsia="lt-LT"/>
        </w:rPr>
        <w:t xml:space="preserve">užtikrinti tas pačias pamatines vertybes – teisinių santykių </w:t>
      </w:r>
      <w:r w:rsidR="00501BDC" w:rsidRPr="00F91AB7">
        <w:rPr>
          <w:rFonts w:ascii="Times New Roman" w:eastAsia="Times New Roman" w:hAnsi="Times New Roman" w:cs="Times New Roman"/>
          <w:sz w:val="24"/>
          <w:szCs w:val="24"/>
          <w:lang w:eastAsia="lt-LT"/>
        </w:rPr>
        <w:t xml:space="preserve">aiškumą, </w:t>
      </w:r>
      <w:r w:rsidR="00095DB6" w:rsidRPr="00F91AB7">
        <w:rPr>
          <w:rFonts w:ascii="Times New Roman" w:eastAsia="Times New Roman" w:hAnsi="Times New Roman" w:cs="Times New Roman"/>
          <w:sz w:val="24"/>
          <w:szCs w:val="24"/>
          <w:lang w:eastAsia="lt-LT"/>
        </w:rPr>
        <w:t>stabilumą ir numatomumą (prognozuojamumą)</w:t>
      </w:r>
      <w:r w:rsidR="00121EFE" w:rsidRPr="00F91AB7">
        <w:rPr>
          <w:rFonts w:ascii="Times New Roman" w:eastAsia="Times New Roman" w:hAnsi="Times New Roman" w:cs="Times New Roman"/>
          <w:sz w:val="24"/>
          <w:szCs w:val="24"/>
          <w:lang w:eastAsia="lt-LT"/>
        </w:rPr>
        <w:t xml:space="preserve"> bei jais kuriamų</w:t>
      </w:r>
      <w:r w:rsidR="002D7048" w:rsidRPr="00F91AB7">
        <w:rPr>
          <w:rFonts w:ascii="Times New Roman" w:eastAsia="Times New Roman" w:hAnsi="Times New Roman" w:cs="Times New Roman"/>
          <w:sz w:val="24"/>
          <w:szCs w:val="24"/>
          <w:lang w:eastAsia="lt-LT"/>
        </w:rPr>
        <w:t xml:space="preserve"> asmens</w:t>
      </w:r>
      <w:r w:rsidR="005D5627" w:rsidRPr="00F91AB7">
        <w:rPr>
          <w:rFonts w:ascii="Times New Roman" w:eastAsia="Times New Roman" w:hAnsi="Times New Roman" w:cs="Times New Roman"/>
          <w:sz w:val="24"/>
          <w:szCs w:val="24"/>
          <w:lang w:eastAsia="lt-LT"/>
        </w:rPr>
        <w:t xml:space="preserve"> teisėtų</w:t>
      </w:r>
      <w:r w:rsidR="00121EFE" w:rsidRPr="00F91AB7">
        <w:rPr>
          <w:rFonts w:ascii="Times New Roman" w:eastAsia="Times New Roman" w:hAnsi="Times New Roman" w:cs="Times New Roman"/>
          <w:sz w:val="24"/>
          <w:szCs w:val="24"/>
          <w:lang w:eastAsia="lt-LT"/>
        </w:rPr>
        <w:t xml:space="preserve"> lūkesčių apsaugą</w:t>
      </w:r>
      <w:r w:rsidR="00EA261F" w:rsidRPr="00F91AB7">
        <w:rPr>
          <w:rFonts w:ascii="Times New Roman" w:eastAsia="Times New Roman" w:hAnsi="Times New Roman" w:cs="Times New Roman"/>
          <w:sz w:val="24"/>
          <w:szCs w:val="24"/>
          <w:lang w:eastAsia="lt-LT"/>
        </w:rPr>
        <w:t>.</w:t>
      </w:r>
      <w:r w:rsidR="009A2127" w:rsidRPr="00F91AB7">
        <w:rPr>
          <w:rFonts w:ascii="Times New Roman" w:eastAsia="Times New Roman" w:hAnsi="Times New Roman" w:cs="Times New Roman"/>
          <w:sz w:val="24"/>
          <w:szCs w:val="24"/>
          <w:lang w:eastAsia="lt-LT"/>
        </w:rPr>
        <w:t xml:space="preserve"> </w:t>
      </w:r>
      <w:r w:rsidR="002D7048" w:rsidRPr="00F91AB7">
        <w:rPr>
          <w:rFonts w:ascii="Times New Roman" w:eastAsia="Times New Roman" w:hAnsi="Times New Roman" w:cs="Times New Roman"/>
          <w:sz w:val="24"/>
          <w:szCs w:val="24"/>
          <w:lang w:eastAsia="lt-LT"/>
        </w:rPr>
        <w:t>Atsižvelg</w:t>
      </w:r>
      <w:r w:rsidR="00121EFE" w:rsidRPr="00F91AB7">
        <w:rPr>
          <w:rFonts w:ascii="Times New Roman" w:eastAsia="Times New Roman" w:hAnsi="Times New Roman" w:cs="Times New Roman"/>
          <w:sz w:val="24"/>
          <w:szCs w:val="24"/>
          <w:lang w:eastAsia="lt-LT"/>
        </w:rPr>
        <w:t xml:space="preserve">iant į tai, peršasi išvada, kad teisinio saugumo principo </w:t>
      </w:r>
      <w:r w:rsidR="005D5627" w:rsidRPr="00F91AB7">
        <w:rPr>
          <w:rFonts w:ascii="Times New Roman" w:eastAsia="Times New Roman" w:hAnsi="Times New Roman" w:cs="Times New Roman"/>
          <w:sz w:val="24"/>
          <w:szCs w:val="24"/>
          <w:lang w:eastAsia="lt-LT"/>
        </w:rPr>
        <w:t>egzistavimas</w:t>
      </w:r>
      <w:r w:rsidR="00121EFE" w:rsidRPr="00F91AB7">
        <w:rPr>
          <w:rFonts w:ascii="Times New Roman" w:eastAsia="Times New Roman" w:hAnsi="Times New Roman" w:cs="Times New Roman"/>
          <w:sz w:val="24"/>
          <w:szCs w:val="24"/>
          <w:lang w:eastAsia="lt-LT"/>
        </w:rPr>
        <w:t xml:space="preserve"> mūsų teisinėje valstybėje tam tikra prasme</w:t>
      </w:r>
      <w:r w:rsidR="005D5627" w:rsidRPr="00F91AB7">
        <w:rPr>
          <w:rFonts w:ascii="Times New Roman" w:eastAsia="Times New Roman" w:hAnsi="Times New Roman" w:cs="Times New Roman"/>
          <w:sz w:val="24"/>
          <w:szCs w:val="24"/>
          <w:lang w:eastAsia="lt-LT"/>
        </w:rPr>
        <w:t xml:space="preserve"> netgi</w:t>
      </w:r>
      <w:r w:rsidR="00121EFE" w:rsidRPr="00F91AB7">
        <w:rPr>
          <w:rFonts w:ascii="Times New Roman" w:eastAsia="Times New Roman" w:hAnsi="Times New Roman" w:cs="Times New Roman"/>
          <w:sz w:val="24"/>
          <w:szCs w:val="24"/>
          <w:lang w:eastAsia="lt-LT"/>
        </w:rPr>
        <w:t xml:space="preserve"> lėmė teismo precedento kaip vienodos teismų praktikos formavimo priemonės įtvirtinimą. Taigi galime pagrįstai teigti</w:t>
      </w:r>
      <w:r w:rsidR="0020270C" w:rsidRPr="00F91AB7">
        <w:rPr>
          <w:rFonts w:ascii="Times New Roman" w:eastAsia="Times New Roman" w:hAnsi="Times New Roman" w:cs="Times New Roman"/>
          <w:sz w:val="24"/>
          <w:szCs w:val="24"/>
          <w:lang w:eastAsia="lt-LT"/>
        </w:rPr>
        <w:t xml:space="preserve">, kad precedentas yra ne tik </w:t>
      </w:r>
      <w:r w:rsidR="0020270C" w:rsidRPr="00F91AB7">
        <w:rPr>
          <w:rFonts w:ascii="Times New Roman" w:hAnsi="Times New Roman" w:cs="Times New Roman"/>
          <w:iCs/>
          <w:color w:val="000000"/>
          <w:sz w:val="24"/>
          <w:szCs w:val="24"/>
          <w:shd w:val="clear" w:color="auto" w:fill="FFFFFF"/>
        </w:rPr>
        <w:t xml:space="preserve">vienodos teismų praktikos formavimo priemonė, bet ir </w:t>
      </w:r>
      <w:r w:rsidR="0020270C" w:rsidRPr="00F91AB7">
        <w:rPr>
          <w:rFonts w:ascii="Times New Roman" w:hAnsi="Times New Roman" w:cs="Times New Roman"/>
          <w:color w:val="000000"/>
          <w:sz w:val="24"/>
          <w:szCs w:val="24"/>
          <w:shd w:val="clear" w:color="auto" w:fill="FFFFFF"/>
        </w:rPr>
        <w:t xml:space="preserve">teisinio saugumo principo, </w:t>
      </w:r>
      <w:r w:rsidR="004471DB">
        <w:rPr>
          <w:rFonts w:ascii="Times New Roman" w:hAnsi="Times New Roman" w:cs="Times New Roman"/>
          <w:color w:val="000000"/>
          <w:sz w:val="24"/>
          <w:szCs w:val="24"/>
          <w:shd w:val="clear" w:color="auto" w:fill="FFFFFF"/>
        </w:rPr>
        <w:t>kaip pamatinio</w:t>
      </w:r>
      <w:r w:rsidR="00E52063" w:rsidRPr="00F91AB7">
        <w:rPr>
          <w:rFonts w:ascii="Times New Roman" w:hAnsi="Times New Roman" w:cs="Times New Roman"/>
          <w:color w:val="000000"/>
          <w:sz w:val="24"/>
          <w:szCs w:val="24"/>
          <w:shd w:val="clear" w:color="auto" w:fill="FFFFFF"/>
        </w:rPr>
        <w:t xml:space="preserve"> ES teisės ir nacionalinės teisės bendrojo teisės principo, </w:t>
      </w:r>
      <w:r w:rsidR="0020270C" w:rsidRPr="00F91AB7">
        <w:rPr>
          <w:rFonts w:ascii="Times New Roman" w:hAnsi="Times New Roman" w:cs="Times New Roman"/>
          <w:color w:val="000000"/>
          <w:sz w:val="24"/>
          <w:szCs w:val="24"/>
          <w:shd w:val="clear" w:color="auto" w:fill="FFFFFF"/>
        </w:rPr>
        <w:t xml:space="preserve">apimančio teisinio stabilumo, teisėtų lūkesčių apsaugos ir kitus principus, </w:t>
      </w:r>
      <w:r w:rsidR="004471DB">
        <w:rPr>
          <w:rFonts w:ascii="Times New Roman" w:hAnsi="Times New Roman" w:cs="Times New Roman"/>
          <w:color w:val="000000"/>
          <w:sz w:val="24"/>
          <w:szCs w:val="24"/>
          <w:shd w:val="clear" w:color="auto" w:fill="FFFFFF"/>
        </w:rPr>
        <w:t>užtikrinimo</w:t>
      </w:r>
      <w:r w:rsidR="0020270C" w:rsidRPr="00F91AB7">
        <w:rPr>
          <w:rFonts w:ascii="Times New Roman" w:hAnsi="Times New Roman" w:cs="Times New Roman"/>
          <w:color w:val="000000"/>
          <w:sz w:val="24"/>
          <w:szCs w:val="24"/>
          <w:shd w:val="clear" w:color="auto" w:fill="FFFFFF"/>
        </w:rPr>
        <w:t xml:space="preserve"> sąlyga. </w:t>
      </w:r>
    </w:p>
    <w:p w:rsidR="005D5627" w:rsidRPr="00F91AB7" w:rsidRDefault="005D5627" w:rsidP="006F1AB8">
      <w:pPr>
        <w:shd w:val="clear" w:color="auto" w:fill="FFFFFF"/>
        <w:spacing w:after="0" w:line="240" w:lineRule="auto"/>
        <w:jc w:val="both"/>
        <w:rPr>
          <w:rFonts w:ascii="Times New Roman" w:hAnsi="Times New Roman" w:cs="Times New Roman"/>
          <w:color w:val="000000"/>
          <w:sz w:val="24"/>
          <w:szCs w:val="24"/>
          <w:shd w:val="clear" w:color="auto" w:fill="FFFFFF"/>
        </w:rPr>
      </w:pPr>
    </w:p>
    <w:p w:rsidR="00967D02" w:rsidRPr="00F91AB7" w:rsidRDefault="00BF6CA6" w:rsidP="006F1AB8">
      <w:pPr>
        <w:shd w:val="clear" w:color="auto" w:fill="FFFFFF"/>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shd w:val="clear" w:color="auto" w:fill="FFFFFF"/>
        </w:rPr>
        <w:t xml:space="preserve">Pabrėžtina, kad </w:t>
      </w:r>
      <w:r w:rsidR="004471DB">
        <w:rPr>
          <w:rFonts w:ascii="Times New Roman" w:hAnsi="Times New Roman" w:cs="Times New Roman"/>
          <w:color w:val="000000"/>
          <w:sz w:val="24"/>
          <w:szCs w:val="24"/>
          <w:shd w:val="clear" w:color="auto" w:fill="FFFFFF"/>
        </w:rPr>
        <w:t xml:space="preserve">netinkamai taikant precedentą ir </w:t>
      </w:r>
      <w:r>
        <w:rPr>
          <w:rFonts w:ascii="Times New Roman" w:hAnsi="Times New Roman" w:cs="Times New Roman"/>
          <w:color w:val="000000"/>
          <w:sz w:val="24"/>
          <w:szCs w:val="24"/>
          <w:shd w:val="clear" w:color="auto" w:fill="FFFFFF"/>
        </w:rPr>
        <w:t>n</w:t>
      </w:r>
      <w:r w:rsidR="004471DB">
        <w:rPr>
          <w:rFonts w:ascii="Times New Roman" w:hAnsi="Times New Roman" w:cs="Times New Roman"/>
          <w:color w:val="000000"/>
          <w:sz w:val="24"/>
          <w:szCs w:val="24"/>
          <w:shd w:val="clear" w:color="auto" w:fill="FFFFFF"/>
        </w:rPr>
        <w:t>eužtikrinant</w:t>
      </w:r>
      <w:r w:rsidRPr="00F91AB7">
        <w:rPr>
          <w:rFonts w:ascii="Times New Roman" w:hAnsi="Times New Roman" w:cs="Times New Roman"/>
          <w:color w:val="000000"/>
          <w:sz w:val="24"/>
          <w:szCs w:val="24"/>
          <w:shd w:val="clear" w:color="auto" w:fill="FFFFFF"/>
        </w:rPr>
        <w:t xml:space="preserve"> jurisprudencijos tęstinumo</w:t>
      </w:r>
      <w:r w:rsidR="004471DB">
        <w:rPr>
          <w:rFonts w:ascii="Times New Roman" w:hAnsi="Times New Roman" w:cs="Times New Roman"/>
          <w:color w:val="000000"/>
          <w:sz w:val="24"/>
          <w:szCs w:val="24"/>
          <w:shd w:val="clear" w:color="auto" w:fill="FFFFFF"/>
        </w:rPr>
        <w:t xml:space="preserve"> ir prognozuojamumo</w:t>
      </w:r>
      <w:r w:rsidRPr="00F91AB7">
        <w:rPr>
          <w:rFonts w:ascii="Times New Roman" w:hAnsi="Times New Roman" w:cs="Times New Roman"/>
          <w:color w:val="000000"/>
          <w:sz w:val="24"/>
          <w:szCs w:val="24"/>
          <w:shd w:val="clear" w:color="auto" w:fill="FFFFFF"/>
        </w:rPr>
        <w:t>, nebūtų užtikrintas ir asmens pasitikėjimas valstybe bei teise, kurio reikalauja teisinio saugumo principas.</w:t>
      </w:r>
      <w:r>
        <w:rPr>
          <w:rFonts w:ascii="Times New Roman" w:hAnsi="Times New Roman" w:cs="Times New Roman"/>
          <w:color w:val="000000"/>
          <w:sz w:val="24"/>
          <w:szCs w:val="24"/>
          <w:shd w:val="clear" w:color="auto" w:fill="FFFFFF"/>
        </w:rPr>
        <w:t xml:space="preserve"> </w:t>
      </w:r>
      <w:r w:rsidR="0020270C" w:rsidRPr="00F91AB7">
        <w:rPr>
          <w:rFonts w:ascii="Times New Roman" w:hAnsi="Times New Roman" w:cs="Times New Roman"/>
          <w:color w:val="000000"/>
          <w:sz w:val="24"/>
          <w:szCs w:val="24"/>
          <w:shd w:val="clear" w:color="auto" w:fill="FFFFFF"/>
        </w:rPr>
        <w:t>Todėl</w:t>
      </w:r>
      <w:r w:rsidR="00CB292B" w:rsidRPr="00F91AB7">
        <w:rPr>
          <w:rFonts w:ascii="Times New Roman" w:eastAsia="Times New Roman" w:hAnsi="Times New Roman" w:cs="Times New Roman"/>
          <w:sz w:val="24"/>
          <w:szCs w:val="24"/>
          <w:lang w:eastAsia="lt-LT"/>
        </w:rPr>
        <w:t xml:space="preserve">, </w:t>
      </w:r>
      <w:r w:rsidR="003161EF" w:rsidRPr="00F91AB7">
        <w:rPr>
          <w:rFonts w:ascii="Times New Roman" w:eastAsia="Times New Roman" w:hAnsi="Times New Roman" w:cs="Times New Roman"/>
          <w:sz w:val="24"/>
          <w:szCs w:val="24"/>
          <w:lang w:eastAsia="lt-LT"/>
        </w:rPr>
        <w:t xml:space="preserve">žvelgiant iš advokato perspektyvos, </w:t>
      </w:r>
      <w:r w:rsidR="004471DB">
        <w:rPr>
          <w:rFonts w:ascii="Times New Roman" w:eastAsia="Times New Roman" w:hAnsi="Times New Roman" w:cs="Times New Roman"/>
          <w:sz w:val="24"/>
          <w:szCs w:val="24"/>
          <w:lang w:eastAsia="lt-LT"/>
        </w:rPr>
        <w:t>minėta</w:t>
      </w:r>
      <w:r w:rsidR="00E52063" w:rsidRPr="00F91AB7">
        <w:rPr>
          <w:rFonts w:ascii="Times New Roman" w:eastAsia="Times New Roman" w:hAnsi="Times New Roman" w:cs="Times New Roman"/>
          <w:sz w:val="24"/>
          <w:szCs w:val="24"/>
          <w:lang w:eastAsia="lt-LT"/>
        </w:rPr>
        <w:t xml:space="preserve"> teismo </w:t>
      </w:r>
      <w:r w:rsidR="0020270C" w:rsidRPr="00F91AB7">
        <w:rPr>
          <w:rFonts w:ascii="Times New Roman" w:eastAsia="Times New Roman" w:hAnsi="Times New Roman" w:cs="Times New Roman"/>
          <w:sz w:val="24"/>
          <w:szCs w:val="24"/>
          <w:lang w:eastAsia="lt-LT"/>
        </w:rPr>
        <w:t>precedent</w:t>
      </w:r>
      <w:r w:rsidR="00E52063" w:rsidRPr="00F91AB7">
        <w:rPr>
          <w:rFonts w:ascii="Times New Roman" w:eastAsia="Times New Roman" w:hAnsi="Times New Roman" w:cs="Times New Roman"/>
          <w:sz w:val="24"/>
          <w:szCs w:val="24"/>
          <w:lang w:eastAsia="lt-LT"/>
        </w:rPr>
        <w:t xml:space="preserve">ui </w:t>
      </w:r>
      <w:r w:rsidR="00A95CE7" w:rsidRPr="00F91AB7">
        <w:rPr>
          <w:rFonts w:ascii="Times New Roman" w:eastAsia="Times New Roman" w:hAnsi="Times New Roman" w:cs="Times New Roman"/>
          <w:sz w:val="24"/>
          <w:szCs w:val="24"/>
          <w:lang w:eastAsia="lt-LT"/>
        </w:rPr>
        <w:t xml:space="preserve">priskirta ypatinga reikšmė </w:t>
      </w:r>
      <w:r>
        <w:rPr>
          <w:rFonts w:ascii="Times New Roman" w:eastAsia="Times New Roman" w:hAnsi="Times New Roman" w:cs="Times New Roman"/>
          <w:sz w:val="24"/>
          <w:szCs w:val="24"/>
          <w:lang w:eastAsia="lt-LT"/>
        </w:rPr>
        <w:t xml:space="preserve">ir paskirtis </w:t>
      </w:r>
      <w:r w:rsidR="00FA1F37" w:rsidRPr="00F91AB7">
        <w:rPr>
          <w:rFonts w:ascii="Times New Roman" w:eastAsia="Times New Roman" w:hAnsi="Times New Roman" w:cs="Times New Roman"/>
          <w:sz w:val="24"/>
          <w:szCs w:val="24"/>
          <w:lang w:eastAsia="lt-LT"/>
        </w:rPr>
        <w:t xml:space="preserve">savaime sukuria prielaidas </w:t>
      </w:r>
      <w:r w:rsidR="002D7048" w:rsidRPr="00F91AB7">
        <w:rPr>
          <w:rFonts w:ascii="Times New Roman" w:eastAsia="Times New Roman" w:hAnsi="Times New Roman" w:cs="Times New Roman"/>
          <w:sz w:val="24"/>
          <w:szCs w:val="24"/>
          <w:lang w:eastAsia="lt-LT"/>
        </w:rPr>
        <w:t xml:space="preserve">kelti </w:t>
      </w:r>
      <w:r w:rsidR="003161EF" w:rsidRPr="00F91AB7">
        <w:rPr>
          <w:rFonts w:ascii="Times New Roman" w:eastAsia="Times New Roman" w:hAnsi="Times New Roman" w:cs="Times New Roman"/>
          <w:sz w:val="24"/>
          <w:szCs w:val="24"/>
          <w:lang w:eastAsia="lt-LT"/>
        </w:rPr>
        <w:t>klausim</w:t>
      </w:r>
      <w:r w:rsidR="002D7048" w:rsidRPr="00F91AB7">
        <w:rPr>
          <w:rFonts w:ascii="Times New Roman" w:eastAsia="Times New Roman" w:hAnsi="Times New Roman" w:cs="Times New Roman"/>
          <w:sz w:val="24"/>
          <w:szCs w:val="24"/>
          <w:lang w:eastAsia="lt-LT"/>
        </w:rPr>
        <w:t>ą</w:t>
      </w:r>
      <w:r w:rsidR="003161EF" w:rsidRPr="00F91AB7">
        <w:rPr>
          <w:rFonts w:ascii="Times New Roman" w:eastAsia="Times New Roman" w:hAnsi="Times New Roman" w:cs="Times New Roman"/>
          <w:sz w:val="24"/>
          <w:szCs w:val="24"/>
          <w:lang w:eastAsia="lt-LT"/>
        </w:rPr>
        <w:t>, a</w:t>
      </w:r>
      <w:r w:rsidR="00FA1F37" w:rsidRPr="00F91AB7">
        <w:rPr>
          <w:rFonts w:ascii="Times New Roman" w:eastAsia="Times New Roman" w:hAnsi="Times New Roman" w:cs="Times New Roman"/>
          <w:sz w:val="24"/>
          <w:szCs w:val="24"/>
          <w:lang w:eastAsia="lt-LT"/>
        </w:rPr>
        <w:t>r precedentas kaip vienodos teismų praktikos formavimo</w:t>
      </w:r>
      <w:r w:rsidR="00DB4894">
        <w:rPr>
          <w:rFonts w:ascii="Times New Roman" w:eastAsia="Times New Roman" w:hAnsi="Times New Roman" w:cs="Times New Roman"/>
          <w:sz w:val="24"/>
          <w:szCs w:val="24"/>
          <w:lang w:eastAsia="lt-LT"/>
        </w:rPr>
        <w:t xml:space="preserve">, o kartu </w:t>
      </w:r>
      <w:r w:rsidR="00CB292B" w:rsidRPr="00F91AB7">
        <w:rPr>
          <w:rFonts w:ascii="Times New Roman" w:eastAsia="Times New Roman" w:hAnsi="Times New Roman" w:cs="Times New Roman"/>
          <w:sz w:val="24"/>
          <w:szCs w:val="24"/>
          <w:lang w:eastAsia="lt-LT"/>
        </w:rPr>
        <w:t xml:space="preserve">ir teisinio saugumo principo užtikrinimo </w:t>
      </w:r>
      <w:r w:rsidR="00DB4894">
        <w:rPr>
          <w:rFonts w:ascii="Times New Roman" w:eastAsia="Times New Roman" w:hAnsi="Times New Roman" w:cs="Times New Roman"/>
          <w:sz w:val="24"/>
          <w:szCs w:val="24"/>
          <w:lang w:eastAsia="lt-LT"/>
        </w:rPr>
        <w:t>priemonė</w:t>
      </w:r>
      <w:r w:rsidR="00CB292B" w:rsidRPr="00F91AB7">
        <w:rPr>
          <w:rFonts w:ascii="Times New Roman" w:eastAsia="Times New Roman" w:hAnsi="Times New Roman" w:cs="Times New Roman"/>
          <w:sz w:val="24"/>
          <w:szCs w:val="24"/>
          <w:lang w:eastAsia="lt-LT"/>
        </w:rPr>
        <w:t xml:space="preserve"> </w:t>
      </w:r>
      <w:r w:rsidR="00FA1F37" w:rsidRPr="00F91AB7">
        <w:rPr>
          <w:rFonts w:ascii="Times New Roman" w:eastAsia="Times New Roman" w:hAnsi="Times New Roman" w:cs="Times New Roman"/>
          <w:sz w:val="24"/>
          <w:szCs w:val="24"/>
          <w:lang w:eastAsia="lt-LT"/>
        </w:rPr>
        <w:t xml:space="preserve">yra efektyvi, t.y. ar </w:t>
      </w:r>
      <w:r w:rsidR="00A37929" w:rsidRPr="00F91AB7">
        <w:rPr>
          <w:rFonts w:ascii="Times New Roman" w:eastAsia="Times New Roman" w:hAnsi="Times New Roman" w:cs="Times New Roman"/>
          <w:sz w:val="24"/>
          <w:szCs w:val="24"/>
          <w:lang w:eastAsia="lt-LT"/>
        </w:rPr>
        <w:t xml:space="preserve">visuomet teismai tinkamai </w:t>
      </w:r>
      <w:r w:rsidR="00721884" w:rsidRPr="00F91AB7">
        <w:rPr>
          <w:rFonts w:ascii="Times New Roman" w:eastAsia="Times New Roman" w:hAnsi="Times New Roman" w:cs="Times New Roman"/>
          <w:sz w:val="24"/>
          <w:szCs w:val="24"/>
          <w:lang w:eastAsia="lt-LT"/>
        </w:rPr>
        <w:t>taiko precedentą</w:t>
      </w:r>
      <w:r w:rsidR="00967D02" w:rsidRPr="00F91AB7">
        <w:rPr>
          <w:rFonts w:ascii="Times New Roman" w:eastAsia="Times New Roman" w:hAnsi="Times New Roman" w:cs="Times New Roman"/>
          <w:sz w:val="24"/>
          <w:szCs w:val="24"/>
          <w:lang w:eastAsia="lt-LT"/>
        </w:rPr>
        <w:t xml:space="preserve">, ar advokatas geba </w:t>
      </w:r>
      <w:r w:rsidR="00A37929" w:rsidRPr="00F91AB7">
        <w:rPr>
          <w:rFonts w:ascii="Times New Roman" w:eastAsia="Times New Roman" w:hAnsi="Times New Roman" w:cs="Times New Roman"/>
          <w:sz w:val="24"/>
          <w:szCs w:val="24"/>
          <w:lang w:eastAsia="lt-LT"/>
        </w:rPr>
        <w:t>identifikuoti</w:t>
      </w:r>
      <w:r w:rsidR="00967D02" w:rsidRPr="00F91AB7">
        <w:rPr>
          <w:rFonts w:ascii="Times New Roman" w:eastAsia="Times New Roman" w:hAnsi="Times New Roman" w:cs="Times New Roman"/>
          <w:sz w:val="24"/>
          <w:szCs w:val="24"/>
          <w:lang w:eastAsia="lt-LT"/>
        </w:rPr>
        <w:t xml:space="preserve"> precedentu sukurtą praktiką,</w:t>
      </w:r>
      <w:r w:rsidR="003107A5" w:rsidRPr="00F91AB7">
        <w:rPr>
          <w:rFonts w:ascii="Times New Roman" w:eastAsia="Times New Roman" w:hAnsi="Times New Roman" w:cs="Times New Roman"/>
          <w:sz w:val="24"/>
          <w:szCs w:val="24"/>
          <w:lang w:eastAsia="lt-LT"/>
        </w:rPr>
        <w:t xml:space="preserve"> taikytiną</w:t>
      </w:r>
      <w:r w:rsidR="00A37929" w:rsidRPr="00F91AB7">
        <w:rPr>
          <w:rFonts w:ascii="Times New Roman" w:eastAsia="Times New Roman" w:hAnsi="Times New Roman" w:cs="Times New Roman"/>
          <w:sz w:val="24"/>
          <w:szCs w:val="24"/>
          <w:lang w:eastAsia="lt-LT"/>
        </w:rPr>
        <w:t xml:space="preserve"> byloje, </w:t>
      </w:r>
      <w:r w:rsidR="00967D02" w:rsidRPr="00F91AB7">
        <w:rPr>
          <w:rFonts w:ascii="Times New Roman" w:eastAsia="Times New Roman" w:hAnsi="Times New Roman" w:cs="Times New Roman"/>
          <w:sz w:val="24"/>
          <w:szCs w:val="24"/>
          <w:lang w:eastAsia="lt-LT"/>
        </w:rPr>
        <w:t>ar tinkamai veikia kasacija kaip patikros institutas, siekiant nustatyti nukrypimą nuo precedentu suformuotos praktikos</w:t>
      </w:r>
      <w:r w:rsidR="006F77D1" w:rsidRPr="00F91AB7">
        <w:rPr>
          <w:rFonts w:ascii="Times New Roman" w:eastAsia="Times New Roman" w:hAnsi="Times New Roman" w:cs="Times New Roman"/>
          <w:sz w:val="24"/>
          <w:szCs w:val="24"/>
          <w:lang w:eastAsia="lt-LT"/>
        </w:rPr>
        <w:t xml:space="preserve">, kaip siekiamas įvesti visuomenės tarėjų </w:t>
      </w:r>
      <w:r w:rsidR="00967D02" w:rsidRPr="00F91AB7">
        <w:rPr>
          <w:rFonts w:ascii="Times New Roman" w:eastAsia="Times New Roman" w:hAnsi="Times New Roman" w:cs="Times New Roman"/>
          <w:sz w:val="24"/>
          <w:szCs w:val="24"/>
          <w:lang w:eastAsia="lt-LT"/>
        </w:rPr>
        <w:t xml:space="preserve"> </w:t>
      </w:r>
      <w:r w:rsidR="006F77D1" w:rsidRPr="00F91AB7">
        <w:rPr>
          <w:rFonts w:ascii="Times New Roman" w:eastAsia="Times New Roman" w:hAnsi="Times New Roman" w:cs="Times New Roman"/>
          <w:sz w:val="24"/>
          <w:szCs w:val="24"/>
          <w:lang w:eastAsia="lt-LT"/>
        </w:rPr>
        <w:t xml:space="preserve">institutas įtakos </w:t>
      </w:r>
      <w:r w:rsidR="00C63DA4" w:rsidRPr="00F91AB7">
        <w:rPr>
          <w:rFonts w:ascii="Times New Roman" w:eastAsia="Times New Roman" w:hAnsi="Times New Roman" w:cs="Times New Roman"/>
          <w:sz w:val="24"/>
          <w:szCs w:val="24"/>
          <w:lang w:eastAsia="lt-LT"/>
        </w:rPr>
        <w:t>precedento doktriną</w:t>
      </w:r>
      <w:r w:rsidR="006F77D1" w:rsidRPr="00F91AB7">
        <w:rPr>
          <w:rFonts w:ascii="Times New Roman" w:eastAsia="Times New Roman" w:hAnsi="Times New Roman" w:cs="Times New Roman"/>
          <w:sz w:val="24"/>
          <w:szCs w:val="24"/>
          <w:lang w:eastAsia="lt-LT"/>
        </w:rPr>
        <w:t xml:space="preserve"> </w:t>
      </w:r>
      <w:r w:rsidR="00967D02" w:rsidRPr="00F91AB7">
        <w:rPr>
          <w:rFonts w:ascii="Times New Roman" w:eastAsia="Times New Roman" w:hAnsi="Times New Roman" w:cs="Times New Roman"/>
          <w:sz w:val="24"/>
          <w:szCs w:val="24"/>
          <w:lang w:eastAsia="lt-LT"/>
        </w:rPr>
        <w:t>ir k</w:t>
      </w:r>
      <w:r w:rsidR="00A37929" w:rsidRPr="00F91AB7">
        <w:rPr>
          <w:rFonts w:ascii="Times New Roman" w:eastAsia="Times New Roman" w:hAnsi="Times New Roman" w:cs="Times New Roman"/>
          <w:sz w:val="24"/>
          <w:szCs w:val="24"/>
          <w:lang w:eastAsia="lt-LT"/>
        </w:rPr>
        <w:t xml:space="preserve">t. Į šiuos ir kitus klausimus </w:t>
      </w:r>
      <w:r w:rsidR="00967D02" w:rsidRPr="00F91AB7">
        <w:rPr>
          <w:rFonts w:ascii="Times New Roman" w:eastAsia="Times New Roman" w:hAnsi="Times New Roman" w:cs="Times New Roman"/>
          <w:sz w:val="24"/>
          <w:szCs w:val="24"/>
          <w:lang w:eastAsia="lt-LT"/>
        </w:rPr>
        <w:t xml:space="preserve">bus stengiamasi trumpai </w:t>
      </w:r>
      <w:r w:rsidR="00A37929" w:rsidRPr="00F91AB7">
        <w:rPr>
          <w:rFonts w:ascii="Times New Roman" w:eastAsia="Times New Roman" w:hAnsi="Times New Roman" w:cs="Times New Roman"/>
          <w:sz w:val="24"/>
          <w:szCs w:val="24"/>
          <w:lang w:eastAsia="lt-LT"/>
        </w:rPr>
        <w:t xml:space="preserve">atsakyti </w:t>
      </w:r>
      <w:r w:rsidR="00967D02" w:rsidRPr="00F91AB7">
        <w:rPr>
          <w:rFonts w:ascii="Times New Roman" w:eastAsia="Times New Roman" w:hAnsi="Times New Roman" w:cs="Times New Roman"/>
          <w:sz w:val="24"/>
          <w:szCs w:val="24"/>
          <w:lang w:eastAsia="lt-LT"/>
        </w:rPr>
        <w:t xml:space="preserve">šiame pranešime. </w:t>
      </w:r>
    </w:p>
    <w:p w:rsidR="00967D02" w:rsidRPr="00F91AB7" w:rsidRDefault="00967D02" w:rsidP="006F1AB8">
      <w:pPr>
        <w:spacing w:after="0" w:line="240" w:lineRule="auto"/>
        <w:rPr>
          <w:rFonts w:ascii="Times New Roman" w:hAnsi="Times New Roman" w:cs="Times New Roman"/>
          <w:sz w:val="24"/>
          <w:szCs w:val="24"/>
        </w:rPr>
      </w:pPr>
    </w:p>
    <w:p w:rsidR="00FB0E51" w:rsidRPr="00F91AB7" w:rsidRDefault="00FB0E51" w:rsidP="006F1AB8">
      <w:pPr>
        <w:spacing w:after="0" w:line="240" w:lineRule="auto"/>
        <w:rPr>
          <w:rFonts w:ascii="Times New Roman" w:hAnsi="Times New Roman" w:cs="Times New Roman"/>
          <w:b/>
          <w:sz w:val="24"/>
          <w:szCs w:val="24"/>
        </w:rPr>
      </w:pPr>
      <w:r w:rsidRPr="00F91AB7">
        <w:rPr>
          <w:rFonts w:ascii="Times New Roman" w:hAnsi="Times New Roman" w:cs="Times New Roman"/>
          <w:b/>
          <w:sz w:val="24"/>
          <w:szCs w:val="24"/>
        </w:rPr>
        <w:t>Precedento kaip vienodos teismų praktikos formavimo priemonės taikymas teismuose</w:t>
      </w:r>
    </w:p>
    <w:p w:rsidR="00967D02" w:rsidRPr="00F91AB7" w:rsidRDefault="00967D02" w:rsidP="006F1AB8">
      <w:pPr>
        <w:spacing w:after="0" w:line="240" w:lineRule="auto"/>
        <w:jc w:val="both"/>
        <w:rPr>
          <w:rFonts w:ascii="Times New Roman" w:hAnsi="Times New Roman" w:cs="Times New Roman"/>
          <w:b/>
          <w:sz w:val="24"/>
          <w:szCs w:val="24"/>
        </w:rPr>
      </w:pPr>
    </w:p>
    <w:p w:rsidR="008F61D9" w:rsidRPr="00F91AB7" w:rsidRDefault="008F61D9" w:rsidP="006F1AB8">
      <w:pPr>
        <w:pStyle w:val="Heading1"/>
        <w:shd w:val="clear" w:color="auto" w:fill="FFFFFF"/>
        <w:spacing w:before="0" w:beforeAutospacing="0" w:after="0" w:afterAutospacing="0"/>
        <w:jc w:val="both"/>
        <w:rPr>
          <w:b w:val="0"/>
          <w:bCs w:val="0"/>
          <w:kern w:val="0"/>
          <w:sz w:val="24"/>
          <w:szCs w:val="24"/>
          <w:lang w:eastAsia="en-US"/>
        </w:rPr>
      </w:pPr>
      <w:r w:rsidRPr="00F91AB7">
        <w:rPr>
          <w:b w:val="0"/>
          <w:sz w:val="24"/>
          <w:szCs w:val="24"/>
        </w:rPr>
        <w:t>Pagal Konstitucinio Teismo jurisprudenciją teismai, priimdami sprendimus atitinkamų kategorijų bylose, yra saistomi savo pačių sukurtų precedentų –</w:t>
      </w:r>
      <w:r w:rsidR="0096242C" w:rsidRPr="00F91AB7">
        <w:rPr>
          <w:b w:val="0"/>
          <w:sz w:val="24"/>
          <w:szCs w:val="24"/>
        </w:rPr>
        <w:t xml:space="preserve"> sprendimų analogiškose bylose</w:t>
      </w:r>
      <w:r w:rsidR="0096242C" w:rsidRPr="00F91AB7">
        <w:rPr>
          <w:rStyle w:val="FootnoteReference"/>
          <w:b w:val="0"/>
          <w:sz w:val="24"/>
          <w:szCs w:val="24"/>
        </w:rPr>
        <w:footnoteReference w:id="3"/>
      </w:r>
      <w:r w:rsidR="006C09EB" w:rsidRPr="00F91AB7">
        <w:rPr>
          <w:b w:val="0"/>
          <w:sz w:val="24"/>
          <w:szCs w:val="24"/>
        </w:rPr>
        <w:t xml:space="preserve">. Tačiau </w:t>
      </w:r>
      <w:r w:rsidRPr="00F91AB7">
        <w:rPr>
          <w:b w:val="0"/>
          <w:sz w:val="24"/>
          <w:szCs w:val="24"/>
        </w:rPr>
        <w:t>remtis teismų precedentais reikia itin apdairiai</w:t>
      </w:r>
      <w:r w:rsidR="006C09EB" w:rsidRPr="00F91AB7">
        <w:rPr>
          <w:b w:val="0"/>
          <w:sz w:val="24"/>
          <w:szCs w:val="24"/>
        </w:rPr>
        <w:t xml:space="preserve">. </w:t>
      </w:r>
      <w:r w:rsidRPr="00F91AB7">
        <w:rPr>
          <w:b w:val="0"/>
          <w:sz w:val="24"/>
          <w:szCs w:val="24"/>
        </w:rPr>
        <w:t xml:space="preserve"> </w:t>
      </w:r>
      <w:r w:rsidR="006C09EB" w:rsidRPr="00F91AB7">
        <w:rPr>
          <w:b w:val="0"/>
          <w:sz w:val="24"/>
          <w:szCs w:val="24"/>
        </w:rPr>
        <w:t xml:space="preserve">Teismams sprendžiant bylas precedento galią turi tik tokie ankstesni teismų sprendimai, kurie buvo sukurti analogiškose bylose, t. y. precedentas taikomas tik tose bylose, kurių faktinės aplinkybės yra tapačios tos bylos, kurioje buvo sukurtas precedentas, faktinėms aplinkybėms arba labai panašios į jas ir kurioms turi būti taikoma ta pati teisė, kaip toje byloje, kurioje buvo sukurtas precedentas.  Be to, turi būti atsižvelgiama </w:t>
      </w:r>
      <w:r w:rsidRPr="00F91AB7">
        <w:rPr>
          <w:b w:val="0"/>
          <w:sz w:val="24"/>
          <w:szCs w:val="24"/>
        </w:rPr>
        <w:t xml:space="preserve">į precedento sukūrimo laiką ir į kitus turinčius reikšmės veiksnius, kaip antai: į tai, ar atitinkamas precedentas atspindi susiformavusią teismų praktiką, ar yra pavienis atvejis; į sprendimo argumentacijos įtikinamumą; į sprendimą priėmusio teismo sudėtį (į tai, ar atitinkamą sprendimą priėmė vienas teisėjas, ar teisėjų kolegija, ar išplėstinė teisėjų kolegija, ar visa teismo (jo skyriaus) sudėtis); į tai, ar dėl ankstesnio teismo sprendimo buvo pareikšta teisėjų atskirųjų nuomonių; į galimus reikšmingus pokyčius </w:t>
      </w:r>
      <w:r w:rsidRPr="00F91AB7">
        <w:rPr>
          <w:b w:val="0"/>
          <w:sz w:val="24"/>
          <w:szCs w:val="24"/>
        </w:rPr>
        <w:lastRenderedPageBreak/>
        <w:t>(socialinius, ekonominius ir kt.), įvykusius priėmus atitinkamą precedento reikšmę turintį teismo sprendimą, ir kt.</w:t>
      </w:r>
    </w:p>
    <w:p w:rsidR="006C09EB" w:rsidRPr="00F91AB7" w:rsidRDefault="006C09EB" w:rsidP="006F1AB8">
      <w:pPr>
        <w:pStyle w:val="Heading1"/>
        <w:shd w:val="clear" w:color="auto" w:fill="FFFFFF"/>
        <w:spacing w:before="0" w:beforeAutospacing="0" w:after="0" w:afterAutospacing="0"/>
        <w:jc w:val="both"/>
        <w:rPr>
          <w:b w:val="0"/>
          <w:bCs w:val="0"/>
          <w:kern w:val="0"/>
          <w:sz w:val="24"/>
          <w:szCs w:val="24"/>
          <w:lang w:eastAsia="en-US"/>
        </w:rPr>
      </w:pPr>
    </w:p>
    <w:p w:rsidR="006C09EB" w:rsidRPr="00F91AB7" w:rsidRDefault="006C09EB" w:rsidP="006F1AB8">
      <w:pPr>
        <w:spacing w:after="0" w:line="240" w:lineRule="auto"/>
        <w:jc w:val="both"/>
        <w:rPr>
          <w:rStyle w:val="apple-converted-space"/>
          <w:rFonts w:ascii="Times New Roman" w:hAnsi="Times New Roman" w:cs="Times New Roman"/>
          <w:sz w:val="24"/>
          <w:szCs w:val="24"/>
        </w:rPr>
      </w:pPr>
      <w:r w:rsidRPr="00F91AB7">
        <w:rPr>
          <w:rFonts w:ascii="Times New Roman" w:eastAsia="Times New Roman" w:hAnsi="Times New Roman" w:cs="Times New Roman"/>
          <w:bCs/>
          <w:kern w:val="36"/>
          <w:sz w:val="24"/>
          <w:szCs w:val="24"/>
          <w:lang w:eastAsia="lt-LT"/>
        </w:rPr>
        <w:t xml:space="preserve">Lietuvos Aukščiausiasis Teismas, plėtodamas precedento taikymo taisykles, </w:t>
      </w:r>
      <w:r w:rsidR="00B1684A" w:rsidRPr="00F91AB7">
        <w:rPr>
          <w:rFonts w:ascii="Times New Roman" w:eastAsia="Times New Roman" w:hAnsi="Times New Roman" w:cs="Times New Roman"/>
          <w:bCs/>
          <w:kern w:val="36"/>
          <w:sz w:val="24"/>
          <w:szCs w:val="24"/>
          <w:lang w:eastAsia="lt-LT"/>
        </w:rPr>
        <w:t xml:space="preserve">taip pat </w:t>
      </w:r>
      <w:r w:rsidRPr="00F91AB7">
        <w:rPr>
          <w:rFonts w:ascii="Times New Roman" w:eastAsia="Times New Roman" w:hAnsi="Times New Roman" w:cs="Times New Roman"/>
          <w:bCs/>
          <w:kern w:val="36"/>
          <w:sz w:val="24"/>
          <w:szCs w:val="24"/>
          <w:lang w:eastAsia="lt-LT"/>
        </w:rPr>
        <w:t>su</w:t>
      </w:r>
      <w:r w:rsidR="000B014A" w:rsidRPr="00F91AB7">
        <w:rPr>
          <w:rFonts w:ascii="Times New Roman" w:eastAsia="Times New Roman" w:hAnsi="Times New Roman" w:cs="Times New Roman"/>
          <w:bCs/>
          <w:kern w:val="36"/>
          <w:sz w:val="24"/>
          <w:szCs w:val="24"/>
          <w:lang w:eastAsia="lt-LT"/>
        </w:rPr>
        <w:t>formavo nuoseklią praktiką</w:t>
      </w:r>
      <w:r w:rsidR="00490525" w:rsidRPr="00F91AB7">
        <w:rPr>
          <w:rStyle w:val="FootnoteReference"/>
          <w:rFonts w:ascii="Times New Roman" w:hAnsi="Times New Roman" w:cs="Times New Roman"/>
          <w:sz w:val="24"/>
          <w:szCs w:val="24"/>
        </w:rPr>
        <w:footnoteReference w:id="4"/>
      </w:r>
      <w:r w:rsidR="00490525" w:rsidRPr="00F91AB7">
        <w:rPr>
          <w:rFonts w:ascii="Times New Roman" w:eastAsia="Times New Roman" w:hAnsi="Times New Roman" w:cs="Times New Roman"/>
          <w:bCs/>
          <w:kern w:val="36"/>
          <w:sz w:val="24"/>
          <w:szCs w:val="24"/>
          <w:lang w:eastAsia="lt-LT"/>
        </w:rPr>
        <w:t xml:space="preserve">, pagal kurią, </w:t>
      </w:r>
      <w:r w:rsidR="000B014A" w:rsidRPr="00F91AB7">
        <w:rPr>
          <w:rFonts w:ascii="Times New Roman" w:eastAsia="Times New Roman" w:hAnsi="Times New Roman" w:cs="Times New Roman"/>
          <w:bCs/>
          <w:kern w:val="36"/>
          <w:sz w:val="24"/>
          <w:szCs w:val="24"/>
          <w:lang w:eastAsia="lt-LT"/>
        </w:rPr>
        <w:t>sprendžiant dėl kasacinio teismo nutartyse išdėstytos praktikos laikymosi, reikia nustatyti, ar:</w:t>
      </w:r>
      <w:r w:rsidR="000B014A" w:rsidRPr="00F91AB7">
        <w:rPr>
          <w:rFonts w:ascii="Times New Roman" w:hAnsi="Times New Roman" w:cs="Times New Roman"/>
          <w:sz w:val="24"/>
          <w:szCs w:val="24"/>
        </w:rPr>
        <w:t xml:space="preserve"> 1) skirtingose nutartyse pasisakyta dėl tų pačių teisės nuostatų; 2) tos pačios nuostatos taikomos esant tapačiam ginčo teisinio santykio teisiniam reglamentavimui; 3) visos galiojančios ir teisiškai reikšmingos teisės nuostatos analizuotos ir taikytos priimant teismo sprendimą ar nutartį; 4) tokios nuostatos išsamiai analizuotos teismo motyvuose; 5) tokios nuostatos tinkamai pagrindžiamos teisės normų, teisės doktrinos ir teismų praktikos argumentais; 6) teisės nuostatos taikytos tokiomis pačiomis faktinėmis aplinkybėmis; 7) teismų sprendimų ar nutarčių teiginiai yra esminės, nusprendžiančios bylos baigtį pagal tas faktines aplinkybes išvados, ar yra tik motyvai, argumentai arba kitos tik papildomai vartojamos motyvavimo aplinkybės. Tai – nebaigtinis kriterijų sąrašas, nes gali būti ir kitokių aplinkybių, iš kurių gali būti sprendžiama, ar atitinkamu klausimu yra suformuota teismų praktika, ar turi būti remiamasi vienos ar kitos nutarties teiginiais</w:t>
      </w:r>
      <w:r w:rsidR="00490525" w:rsidRPr="00F91AB7">
        <w:rPr>
          <w:rFonts w:ascii="Times New Roman" w:hAnsi="Times New Roman" w:cs="Times New Roman"/>
          <w:sz w:val="24"/>
          <w:szCs w:val="24"/>
        </w:rPr>
        <w:t>.</w:t>
      </w:r>
      <w:r w:rsidR="000B014A" w:rsidRPr="00F91AB7">
        <w:rPr>
          <w:rStyle w:val="apple-converted-space"/>
          <w:rFonts w:ascii="Times New Roman" w:hAnsi="Times New Roman" w:cs="Times New Roman"/>
          <w:sz w:val="24"/>
          <w:szCs w:val="24"/>
        </w:rPr>
        <w:t xml:space="preserve"> </w:t>
      </w:r>
      <w:r w:rsidR="00C63DA4" w:rsidRPr="00F91AB7">
        <w:rPr>
          <w:rStyle w:val="apple-converted-space"/>
          <w:rFonts w:ascii="Times New Roman" w:hAnsi="Times New Roman" w:cs="Times New Roman"/>
          <w:sz w:val="24"/>
          <w:szCs w:val="24"/>
        </w:rPr>
        <w:t>Tokia gausybė preced</w:t>
      </w:r>
      <w:r w:rsidR="00B1684A" w:rsidRPr="00F91AB7">
        <w:rPr>
          <w:rStyle w:val="apple-converted-space"/>
          <w:rFonts w:ascii="Times New Roman" w:hAnsi="Times New Roman" w:cs="Times New Roman"/>
          <w:sz w:val="24"/>
          <w:szCs w:val="24"/>
        </w:rPr>
        <w:t>ento taikymo taisyklių verčia kelti klausimą</w:t>
      </w:r>
      <w:r w:rsidR="00C63DA4" w:rsidRPr="00F91AB7">
        <w:rPr>
          <w:rStyle w:val="apple-converted-space"/>
          <w:rFonts w:ascii="Times New Roman" w:hAnsi="Times New Roman" w:cs="Times New Roman"/>
          <w:sz w:val="24"/>
          <w:szCs w:val="24"/>
        </w:rPr>
        <w:t xml:space="preserve">, ar teismams visuomet pavyksta identifikuoti sukurtą precedentą ir jį tinkamai pritaikyti </w:t>
      </w:r>
      <w:r w:rsidR="00B1684A" w:rsidRPr="00F91AB7">
        <w:rPr>
          <w:rStyle w:val="apple-converted-space"/>
          <w:rFonts w:ascii="Times New Roman" w:hAnsi="Times New Roman" w:cs="Times New Roman"/>
          <w:sz w:val="24"/>
          <w:szCs w:val="24"/>
        </w:rPr>
        <w:t xml:space="preserve">nagrinėjamoje </w:t>
      </w:r>
      <w:r w:rsidR="0082181C" w:rsidRPr="00F91AB7">
        <w:rPr>
          <w:rStyle w:val="apple-converted-space"/>
          <w:rFonts w:ascii="Times New Roman" w:hAnsi="Times New Roman" w:cs="Times New Roman"/>
          <w:sz w:val="24"/>
          <w:szCs w:val="24"/>
        </w:rPr>
        <w:t>byloje.</w:t>
      </w:r>
      <w:r w:rsidR="00C63DA4" w:rsidRPr="00F91AB7">
        <w:rPr>
          <w:rStyle w:val="apple-converted-space"/>
          <w:rFonts w:ascii="Times New Roman" w:hAnsi="Times New Roman" w:cs="Times New Roman"/>
          <w:sz w:val="24"/>
          <w:szCs w:val="24"/>
        </w:rPr>
        <w:t xml:space="preserve"> </w:t>
      </w:r>
      <w:r w:rsidR="00B1684A" w:rsidRPr="00F91AB7">
        <w:rPr>
          <w:rStyle w:val="apple-converted-space"/>
          <w:rFonts w:ascii="Times New Roman" w:hAnsi="Times New Roman" w:cs="Times New Roman"/>
          <w:sz w:val="24"/>
          <w:szCs w:val="24"/>
        </w:rPr>
        <w:t>Kitaip tariant, ar t</w:t>
      </w:r>
      <w:r w:rsidR="00B1684A" w:rsidRPr="00F91AB7">
        <w:rPr>
          <w:rFonts w:ascii="Times New Roman" w:eastAsia="Times New Roman" w:hAnsi="Times New Roman" w:cs="Times New Roman"/>
          <w:sz w:val="24"/>
          <w:szCs w:val="24"/>
          <w:lang w:eastAsia="lt-LT"/>
        </w:rPr>
        <w:t>eismo precedentas kaip vienodos teismų praktikos formavimo</w:t>
      </w:r>
      <w:r w:rsidR="00EB6200">
        <w:rPr>
          <w:rFonts w:ascii="Times New Roman" w:eastAsia="Times New Roman" w:hAnsi="Times New Roman" w:cs="Times New Roman"/>
          <w:sz w:val="24"/>
          <w:szCs w:val="24"/>
          <w:lang w:eastAsia="lt-LT"/>
        </w:rPr>
        <w:t xml:space="preserve">, o kartu ir teisinio saugumo principo užtikrinimo </w:t>
      </w:r>
      <w:r w:rsidR="00DB4894">
        <w:rPr>
          <w:rFonts w:ascii="Times New Roman" w:eastAsia="Times New Roman" w:hAnsi="Times New Roman" w:cs="Times New Roman"/>
          <w:sz w:val="24"/>
          <w:szCs w:val="24"/>
          <w:lang w:eastAsia="lt-LT"/>
        </w:rPr>
        <w:t>priemonė</w:t>
      </w:r>
      <w:r w:rsidR="00B1684A" w:rsidRPr="00F91AB7">
        <w:rPr>
          <w:rFonts w:ascii="Times New Roman" w:eastAsia="Times New Roman" w:hAnsi="Times New Roman" w:cs="Times New Roman"/>
          <w:sz w:val="24"/>
          <w:szCs w:val="24"/>
          <w:lang w:eastAsia="lt-LT"/>
        </w:rPr>
        <w:t xml:space="preserve"> yra pakankamai efektyvi?</w:t>
      </w:r>
    </w:p>
    <w:p w:rsidR="00C63DA4" w:rsidRPr="00F91AB7" w:rsidRDefault="00C63DA4" w:rsidP="006F1AB8">
      <w:pPr>
        <w:spacing w:after="0" w:line="240" w:lineRule="auto"/>
        <w:jc w:val="both"/>
        <w:rPr>
          <w:rFonts w:ascii="Times New Roman" w:hAnsi="Times New Roman" w:cs="Times New Roman"/>
          <w:sz w:val="24"/>
          <w:szCs w:val="24"/>
        </w:rPr>
      </w:pPr>
    </w:p>
    <w:p w:rsidR="00151091" w:rsidRPr="00F91AB7" w:rsidRDefault="00E0359A" w:rsidP="006F1AB8">
      <w:pPr>
        <w:spacing w:after="0" w:line="240" w:lineRule="auto"/>
        <w:jc w:val="both"/>
        <w:rPr>
          <w:rFonts w:ascii="Times New Roman" w:eastAsia="Times New Roman" w:hAnsi="Times New Roman" w:cs="Times New Roman"/>
          <w:sz w:val="24"/>
          <w:szCs w:val="24"/>
          <w:lang w:eastAsia="lt-LT"/>
        </w:rPr>
      </w:pPr>
      <w:r w:rsidRPr="00F91AB7">
        <w:rPr>
          <w:rFonts w:ascii="Times New Roman" w:hAnsi="Times New Roman" w:cs="Times New Roman"/>
          <w:sz w:val="24"/>
          <w:szCs w:val="24"/>
        </w:rPr>
        <w:t xml:space="preserve">Žinome, kad </w:t>
      </w:r>
      <w:r w:rsidR="00151091" w:rsidRPr="00F91AB7">
        <w:rPr>
          <w:rFonts w:ascii="Times New Roman" w:hAnsi="Times New Roman" w:cs="Times New Roman"/>
          <w:sz w:val="24"/>
          <w:szCs w:val="24"/>
          <w:shd w:val="clear" w:color="auto" w:fill="FFFFFF"/>
        </w:rPr>
        <w:t xml:space="preserve">bendrosios kompetencijos </w:t>
      </w:r>
      <w:r w:rsidR="00C62B84" w:rsidRPr="00F91AB7">
        <w:rPr>
          <w:rFonts w:ascii="Times New Roman" w:hAnsi="Times New Roman" w:cs="Times New Roman"/>
          <w:sz w:val="24"/>
          <w:szCs w:val="24"/>
          <w:shd w:val="clear" w:color="auto" w:fill="FFFFFF"/>
        </w:rPr>
        <w:t xml:space="preserve">ir administracinių </w:t>
      </w:r>
      <w:r w:rsidR="00151091" w:rsidRPr="00F91AB7">
        <w:rPr>
          <w:rFonts w:ascii="Times New Roman" w:hAnsi="Times New Roman" w:cs="Times New Roman"/>
          <w:sz w:val="24"/>
          <w:szCs w:val="24"/>
          <w:shd w:val="clear" w:color="auto" w:fill="FFFFFF"/>
        </w:rPr>
        <w:t>teismų instancinės</w:t>
      </w:r>
      <w:r w:rsidR="00B1684A" w:rsidRPr="00F91AB7">
        <w:rPr>
          <w:rFonts w:ascii="Times New Roman" w:hAnsi="Times New Roman" w:cs="Times New Roman"/>
          <w:sz w:val="24"/>
          <w:szCs w:val="24"/>
          <w:shd w:val="clear" w:color="auto" w:fill="FFFFFF"/>
        </w:rPr>
        <w:t xml:space="preserve"> sistemos paskirtis yra</w:t>
      </w:r>
      <w:r w:rsidR="00151091" w:rsidRPr="00F91AB7">
        <w:rPr>
          <w:rFonts w:ascii="Times New Roman" w:hAnsi="Times New Roman" w:cs="Times New Roman"/>
          <w:sz w:val="24"/>
          <w:szCs w:val="24"/>
          <w:shd w:val="clear" w:color="auto" w:fill="FFFFFF"/>
        </w:rPr>
        <w:t xml:space="preserve"> sudaryti prielaidas aukštesnės instancijos teismuose ištaisyti bet kurias fakto (t. y. teisiškai reikšmingų faktų nustatymo ir vertinimo) ar bet kurias teisės (t. y. teisės taikymo) klaidas, kurias dėl kokių nors priežasčių gali padaryti žemesnės instancijos teismas, ir neleisti, kad kokioje nors teismų nagrinėtoje byloje būtų įvykdytas neteisingumas. Minėtas žemesnės instancijos teismų klaidų ištaisymas ir su tuo susijęs kelio neteisingumui užkirtimas yra atitinkamos bylos šalių ir visuomenės apskritai pasitikėjimo ne tik atitinkamą bylą nagrinėjančiu teismu, bet ir visa teismų sistema</w:t>
      </w:r>
      <w:r w:rsidR="00151091" w:rsidRPr="00F91AB7">
        <w:rPr>
          <w:rStyle w:val="apple-converted-space"/>
          <w:rFonts w:ascii="Times New Roman" w:hAnsi="Times New Roman" w:cs="Times New Roman"/>
          <w:sz w:val="24"/>
          <w:szCs w:val="24"/>
          <w:shd w:val="clear" w:color="auto" w:fill="FFFFFF"/>
        </w:rPr>
        <w:t> būtinoji sąlyga</w:t>
      </w:r>
      <w:r w:rsidR="00151091" w:rsidRPr="00F91AB7">
        <w:rPr>
          <w:rStyle w:val="FootnoteReference"/>
          <w:rFonts w:ascii="Times New Roman" w:hAnsi="Times New Roman" w:cs="Times New Roman"/>
          <w:sz w:val="24"/>
          <w:szCs w:val="24"/>
          <w:shd w:val="clear" w:color="auto" w:fill="FFFFFF"/>
        </w:rPr>
        <w:footnoteReference w:id="5"/>
      </w:r>
      <w:r w:rsidR="00151091" w:rsidRPr="00F91AB7">
        <w:rPr>
          <w:rStyle w:val="Emphasis"/>
          <w:rFonts w:ascii="Times New Roman" w:hAnsi="Times New Roman" w:cs="Times New Roman"/>
          <w:sz w:val="24"/>
          <w:szCs w:val="24"/>
          <w:shd w:val="clear" w:color="auto" w:fill="FFFFFF"/>
        </w:rPr>
        <w:t xml:space="preserve">. </w:t>
      </w:r>
      <w:r w:rsidR="00CF2F39" w:rsidRPr="00F91AB7">
        <w:rPr>
          <w:rFonts w:ascii="Times New Roman" w:hAnsi="Times New Roman" w:cs="Times New Roman"/>
          <w:sz w:val="24"/>
          <w:szCs w:val="24"/>
          <w:shd w:val="clear" w:color="auto" w:fill="FFFFFF"/>
        </w:rPr>
        <w:t>Taigi</w:t>
      </w:r>
      <w:r w:rsidR="00DC1712" w:rsidRPr="00F91AB7">
        <w:rPr>
          <w:rFonts w:ascii="Times New Roman" w:hAnsi="Times New Roman" w:cs="Times New Roman"/>
          <w:sz w:val="24"/>
          <w:szCs w:val="24"/>
          <w:shd w:val="clear" w:color="auto" w:fill="FFFFFF"/>
        </w:rPr>
        <w:t>, neminint konkrečių pavyzdžių,</w:t>
      </w:r>
      <w:r w:rsidR="00CF2F39" w:rsidRPr="00F91AB7">
        <w:rPr>
          <w:rFonts w:ascii="Times New Roman" w:hAnsi="Times New Roman" w:cs="Times New Roman"/>
          <w:sz w:val="24"/>
          <w:szCs w:val="24"/>
          <w:shd w:val="clear" w:color="auto" w:fill="FFFFFF"/>
        </w:rPr>
        <w:t xml:space="preserve"> </w:t>
      </w:r>
      <w:r w:rsidR="00CF2F39" w:rsidRPr="00F91AB7">
        <w:rPr>
          <w:rFonts w:ascii="Times New Roman" w:hAnsi="Times New Roman" w:cs="Times New Roman"/>
          <w:sz w:val="24"/>
          <w:szCs w:val="24"/>
        </w:rPr>
        <w:t>t</w:t>
      </w:r>
      <w:r w:rsidR="00CF2F39" w:rsidRPr="00F91AB7">
        <w:rPr>
          <w:rFonts w:ascii="Times New Roman" w:hAnsi="Times New Roman" w:cs="Times New Roman"/>
          <w:sz w:val="24"/>
          <w:szCs w:val="24"/>
          <w:shd w:val="clear" w:color="auto" w:fill="FFFFFF"/>
        </w:rPr>
        <w:t xml:space="preserve">eismų instancinės sistemos paskirtis </w:t>
      </w:r>
      <w:r w:rsidR="00CF2F39" w:rsidRPr="00F91AB7">
        <w:rPr>
          <w:rFonts w:ascii="Times New Roman" w:hAnsi="Times New Roman" w:cs="Times New Roman"/>
          <w:sz w:val="24"/>
          <w:szCs w:val="24"/>
        </w:rPr>
        <w:t>pati savaime liudija, kad žemesnės instancijos teisma</w:t>
      </w:r>
      <w:r w:rsidR="0082181C" w:rsidRPr="00F91AB7">
        <w:rPr>
          <w:rFonts w:ascii="Times New Roman" w:hAnsi="Times New Roman" w:cs="Times New Roman"/>
          <w:sz w:val="24"/>
          <w:szCs w:val="24"/>
        </w:rPr>
        <w:t>i neišvengia klaidų – reiškia, galime daryti prielaidą, kad teisma</w:t>
      </w:r>
      <w:r w:rsidR="00CF2F39" w:rsidRPr="00F91AB7">
        <w:rPr>
          <w:rFonts w:ascii="Times New Roman" w:hAnsi="Times New Roman" w:cs="Times New Roman"/>
          <w:sz w:val="24"/>
          <w:szCs w:val="24"/>
        </w:rPr>
        <w:t>ms ne visuomet pavyksta tinkamai pritaikyti</w:t>
      </w:r>
      <w:r w:rsidR="00833BAB" w:rsidRPr="00F91AB7">
        <w:rPr>
          <w:rFonts w:ascii="Times New Roman" w:hAnsi="Times New Roman" w:cs="Times New Roman"/>
          <w:sz w:val="24"/>
          <w:szCs w:val="24"/>
        </w:rPr>
        <w:t xml:space="preserve"> precedentu sukurtą praktiką</w:t>
      </w:r>
      <w:r w:rsidR="00CF2F39" w:rsidRPr="00F91AB7">
        <w:rPr>
          <w:rFonts w:ascii="Times New Roman" w:hAnsi="Times New Roman" w:cs="Times New Roman"/>
          <w:sz w:val="24"/>
          <w:szCs w:val="24"/>
        </w:rPr>
        <w:t xml:space="preserve">. </w:t>
      </w:r>
      <w:r w:rsidR="00833BAB" w:rsidRPr="00F91AB7">
        <w:rPr>
          <w:rFonts w:ascii="Times New Roman" w:hAnsi="Times New Roman" w:cs="Times New Roman"/>
          <w:sz w:val="24"/>
          <w:szCs w:val="24"/>
        </w:rPr>
        <w:t>Vis dėlto, m</w:t>
      </w:r>
      <w:r w:rsidRPr="00F91AB7">
        <w:rPr>
          <w:rFonts w:ascii="Times New Roman" w:hAnsi="Times New Roman" w:cs="Times New Roman"/>
          <w:sz w:val="24"/>
          <w:szCs w:val="24"/>
        </w:rPr>
        <w:t>anau, kad turimą pranešimo laiką būtų netikslinga išnaudoti siekiant aptarti atvejus, kai žemesnės instancijos teismai nukrypo nuo kasacinio</w:t>
      </w:r>
      <w:r w:rsidR="00DB4894">
        <w:rPr>
          <w:rFonts w:ascii="Times New Roman" w:hAnsi="Times New Roman" w:cs="Times New Roman"/>
          <w:sz w:val="24"/>
          <w:szCs w:val="24"/>
        </w:rPr>
        <w:t xml:space="preserve"> </w:t>
      </w:r>
      <w:r w:rsidRPr="00F91AB7">
        <w:rPr>
          <w:rFonts w:ascii="Times New Roman" w:hAnsi="Times New Roman" w:cs="Times New Roman"/>
          <w:sz w:val="24"/>
          <w:szCs w:val="24"/>
        </w:rPr>
        <w:t xml:space="preserve">suformuotos teisės taikymo ir aiškinimo praktikos. </w:t>
      </w:r>
      <w:r w:rsidR="00DC1712" w:rsidRPr="00F91AB7">
        <w:rPr>
          <w:rFonts w:ascii="Times New Roman" w:hAnsi="Times New Roman" w:cs="Times New Roman"/>
          <w:sz w:val="24"/>
          <w:szCs w:val="24"/>
        </w:rPr>
        <w:t xml:space="preserve">Kur kas tikslingiau pasigilinti į tai, kaip teismo </w:t>
      </w:r>
      <w:r w:rsidRPr="00F91AB7">
        <w:rPr>
          <w:rFonts w:ascii="Times New Roman" w:eastAsia="Times New Roman" w:hAnsi="Times New Roman" w:cs="Times New Roman"/>
          <w:sz w:val="24"/>
          <w:szCs w:val="24"/>
          <w:lang w:eastAsia="lt-LT"/>
        </w:rPr>
        <w:t>precedentą kaip vienodos teismų praktikos formavimo</w:t>
      </w:r>
      <w:r w:rsidR="00DB4894">
        <w:rPr>
          <w:rFonts w:ascii="Times New Roman" w:eastAsia="Times New Roman" w:hAnsi="Times New Roman" w:cs="Times New Roman"/>
          <w:sz w:val="24"/>
          <w:szCs w:val="24"/>
          <w:lang w:eastAsia="lt-LT"/>
        </w:rPr>
        <w:t xml:space="preserve">, o kartu ir </w:t>
      </w:r>
      <w:r w:rsidRPr="00F91AB7">
        <w:rPr>
          <w:rFonts w:ascii="Times New Roman" w:eastAsia="Times New Roman" w:hAnsi="Times New Roman" w:cs="Times New Roman"/>
          <w:sz w:val="24"/>
          <w:szCs w:val="24"/>
          <w:lang w:eastAsia="lt-LT"/>
        </w:rPr>
        <w:t xml:space="preserve"> </w:t>
      </w:r>
      <w:r w:rsidR="00DB4894">
        <w:rPr>
          <w:rFonts w:ascii="Times New Roman" w:eastAsia="Times New Roman" w:hAnsi="Times New Roman" w:cs="Times New Roman"/>
          <w:sz w:val="24"/>
          <w:szCs w:val="24"/>
          <w:lang w:eastAsia="lt-LT"/>
        </w:rPr>
        <w:t xml:space="preserve">teisinio saugumo principo užtikrinimo priemonę </w:t>
      </w:r>
      <w:r w:rsidRPr="00F91AB7">
        <w:rPr>
          <w:rFonts w:ascii="Times New Roman" w:eastAsia="Times New Roman" w:hAnsi="Times New Roman" w:cs="Times New Roman"/>
          <w:sz w:val="24"/>
          <w:szCs w:val="24"/>
          <w:lang w:eastAsia="lt-LT"/>
        </w:rPr>
        <w:t>gali</w:t>
      </w:r>
      <w:r w:rsidR="00DC1712" w:rsidRPr="00F91AB7">
        <w:rPr>
          <w:rFonts w:ascii="Times New Roman" w:eastAsia="Times New Roman" w:hAnsi="Times New Roman" w:cs="Times New Roman"/>
          <w:sz w:val="24"/>
          <w:szCs w:val="24"/>
          <w:lang w:eastAsia="lt-LT"/>
        </w:rPr>
        <w:t xml:space="preserve">ma </w:t>
      </w:r>
      <w:r w:rsidRPr="00F91AB7">
        <w:rPr>
          <w:rFonts w:ascii="Times New Roman" w:eastAsia="Times New Roman" w:hAnsi="Times New Roman" w:cs="Times New Roman"/>
          <w:sz w:val="24"/>
          <w:szCs w:val="24"/>
          <w:lang w:eastAsia="lt-LT"/>
        </w:rPr>
        <w:t xml:space="preserve">padaryti efektyvesnę. </w:t>
      </w:r>
    </w:p>
    <w:p w:rsidR="00151091" w:rsidRPr="00F91AB7" w:rsidRDefault="00151091" w:rsidP="006F1AB8">
      <w:pPr>
        <w:spacing w:after="0" w:line="240" w:lineRule="auto"/>
        <w:jc w:val="both"/>
        <w:rPr>
          <w:rFonts w:ascii="Times New Roman" w:eastAsia="Times New Roman" w:hAnsi="Times New Roman" w:cs="Times New Roman"/>
          <w:sz w:val="24"/>
          <w:szCs w:val="24"/>
          <w:lang w:eastAsia="lt-LT"/>
        </w:rPr>
      </w:pPr>
    </w:p>
    <w:p w:rsidR="00BA66AB" w:rsidRPr="00F91AB7" w:rsidRDefault="00DC1712" w:rsidP="006F1AB8">
      <w:pPr>
        <w:spacing w:after="0" w:line="240" w:lineRule="auto"/>
        <w:jc w:val="both"/>
        <w:rPr>
          <w:rFonts w:ascii="Times New Roman" w:hAnsi="Times New Roman" w:cs="Times New Roman"/>
          <w:sz w:val="24"/>
          <w:szCs w:val="24"/>
        </w:rPr>
      </w:pPr>
      <w:r w:rsidRPr="00F91AB7">
        <w:rPr>
          <w:rFonts w:ascii="Times New Roman" w:hAnsi="Times New Roman" w:cs="Times New Roman"/>
          <w:sz w:val="24"/>
          <w:szCs w:val="24"/>
        </w:rPr>
        <w:t xml:space="preserve">Tuo tikslu norėčiau atkreipti dėmesį į pastarųjų metų tendenciją, kai </w:t>
      </w:r>
      <w:r w:rsidR="006D61D9" w:rsidRPr="00F91AB7">
        <w:rPr>
          <w:rFonts w:ascii="Times New Roman" w:hAnsi="Times New Roman" w:cs="Times New Roman"/>
          <w:sz w:val="24"/>
          <w:szCs w:val="24"/>
        </w:rPr>
        <w:t>kasacinis teismas</w:t>
      </w:r>
      <w:r w:rsidRPr="00F91AB7">
        <w:rPr>
          <w:rFonts w:ascii="Times New Roman" w:hAnsi="Times New Roman" w:cs="Times New Roman"/>
          <w:sz w:val="24"/>
          <w:szCs w:val="24"/>
        </w:rPr>
        <w:t xml:space="preserve"> </w:t>
      </w:r>
      <w:r w:rsidR="00E0359A" w:rsidRPr="00F91AB7">
        <w:rPr>
          <w:rFonts w:ascii="Times New Roman" w:hAnsi="Times New Roman" w:cs="Times New Roman"/>
          <w:sz w:val="24"/>
          <w:szCs w:val="24"/>
        </w:rPr>
        <w:t>aiškiai konstat</w:t>
      </w:r>
      <w:r w:rsidRPr="00F91AB7">
        <w:rPr>
          <w:rFonts w:ascii="Times New Roman" w:hAnsi="Times New Roman" w:cs="Times New Roman"/>
          <w:sz w:val="24"/>
          <w:szCs w:val="24"/>
        </w:rPr>
        <w:t>uoja</w:t>
      </w:r>
      <w:r w:rsidR="006D61D9" w:rsidRPr="00F91AB7">
        <w:rPr>
          <w:rFonts w:ascii="Times New Roman" w:hAnsi="Times New Roman" w:cs="Times New Roman"/>
          <w:sz w:val="24"/>
          <w:szCs w:val="24"/>
        </w:rPr>
        <w:t>, k</w:t>
      </w:r>
      <w:r w:rsidR="002E7BBE" w:rsidRPr="00F91AB7">
        <w:rPr>
          <w:rFonts w:ascii="Times New Roman" w:hAnsi="Times New Roman" w:cs="Times New Roman"/>
          <w:sz w:val="24"/>
          <w:szCs w:val="24"/>
        </w:rPr>
        <w:t xml:space="preserve">ad konkrečioje nutartyje pateiktas išaiškinimas </w:t>
      </w:r>
      <w:r w:rsidR="006D61D9" w:rsidRPr="00F91AB7">
        <w:rPr>
          <w:rFonts w:ascii="Times New Roman" w:hAnsi="Times New Roman" w:cs="Times New Roman"/>
          <w:sz w:val="24"/>
          <w:szCs w:val="24"/>
        </w:rPr>
        <w:t>atitinka precedento taikymo kriterijus</w:t>
      </w:r>
      <w:r w:rsidR="002E7BBE" w:rsidRPr="00F91AB7">
        <w:rPr>
          <w:rFonts w:ascii="Times New Roman" w:hAnsi="Times New Roman" w:cs="Times New Roman"/>
          <w:sz w:val="24"/>
          <w:szCs w:val="24"/>
        </w:rPr>
        <w:t xml:space="preserve"> ir turi būti laikomas precedentu</w:t>
      </w:r>
      <w:r w:rsidR="006D61D9" w:rsidRPr="00F91AB7">
        <w:rPr>
          <w:rFonts w:ascii="Times New Roman" w:hAnsi="Times New Roman" w:cs="Times New Roman"/>
          <w:sz w:val="24"/>
          <w:szCs w:val="24"/>
        </w:rPr>
        <w:t xml:space="preserve">. Pavyzdžiui, praeitais metais žiniasklaidoje garsiai nuskambėjo </w:t>
      </w:r>
      <w:r w:rsidRPr="00F91AB7">
        <w:rPr>
          <w:rFonts w:ascii="Times New Roman" w:hAnsi="Times New Roman" w:cs="Times New Roman"/>
          <w:sz w:val="24"/>
          <w:szCs w:val="24"/>
        </w:rPr>
        <w:t>ES</w:t>
      </w:r>
      <w:r w:rsidR="006D61D9" w:rsidRPr="00F91AB7">
        <w:rPr>
          <w:rFonts w:ascii="Times New Roman" w:hAnsi="Times New Roman" w:cs="Times New Roman"/>
          <w:sz w:val="24"/>
          <w:szCs w:val="24"/>
        </w:rPr>
        <w:t xml:space="preserve"> Teisingumo Teismo sprendimas Litaksa byloje</w:t>
      </w:r>
      <w:r w:rsidR="00BA7F32" w:rsidRPr="00F91AB7">
        <w:rPr>
          <w:rStyle w:val="FootnoteReference"/>
          <w:rFonts w:ascii="Times New Roman" w:hAnsi="Times New Roman" w:cs="Times New Roman"/>
          <w:sz w:val="24"/>
          <w:szCs w:val="24"/>
        </w:rPr>
        <w:footnoteReference w:id="6"/>
      </w:r>
      <w:r w:rsidR="006D61D9" w:rsidRPr="00F91AB7">
        <w:rPr>
          <w:rFonts w:ascii="Times New Roman" w:hAnsi="Times New Roman" w:cs="Times New Roman"/>
          <w:sz w:val="24"/>
          <w:szCs w:val="24"/>
        </w:rPr>
        <w:t xml:space="preserve">, kurioje </w:t>
      </w:r>
      <w:r w:rsidRPr="00F91AB7">
        <w:rPr>
          <w:rFonts w:ascii="Times New Roman" w:hAnsi="Times New Roman" w:cs="Times New Roman"/>
          <w:sz w:val="24"/>
          <w:szCs w:val="24"/>
        </w:rPr>
        <w:t xml:space="preserve">buvo išaiškinta, </w:t>
      </w:r>
      <w:r w:rsidR="006D61D9" w:rsidRPr="00F91AB7">
        <w:rPr>
          <w:rFonts w:ascii="Times New Roman" w:hAnsi="Times New Roman" w:cs="Times New Roman"/>
          <w:sz w:val="24"/>
          <w:szCs w:val="24"/>
        </w:rPr>
        <w:t xml:space="preserve">kad </w:t>
      </w:r>
      <w:r w:rsidR="006D61D9" w:rsidRPr="00F91AB7">
        <w:rPr>
          <w:rFonts w:ascii="Times New Roman" w:hAnsi="Times New Roman" w:cs="Times New Roman"/>
          <w:i/>
          <w:sz w:val="24"/>
          <w:szCs w:val="24"/>
        </w:rPr>
        <w:t>„vienkartinės įmokos“</w:t>
      </w:r>
      <w:r w:rsidR="006D61D9" w:rsidRPr="00F91AB7">
        <w:rPr>
          <w:rFonts w:ascii="Times New Roman" w:hAnsi="Times New Roman" w:cs="Times New Roman"/>
          <w:sz w:val="24"/>
          <w:szCs w:val="24"/>
        </w:rPr>
        <w:t xml:space="preserve"> sąvokos neatitinka draudimo įmoka, kurios dydis priklauso nuo to, ar apdrausta transporto priemonė bus naudojama tik valstybės narės, kurioje yra jos įprastinė buvimo vieta, teritorijoje, ar visoje Europos Sąjungos teritorijoje</w:t>
      </w:r>
      <w:r w:rsidR="00161EB8" w:rsidRPr="00F91AB7">
        <w:rPr>
          <w:rStyle w:val="FootnoteReference"/>
          <w:rFonts w:ascii="Times New Roman" w:hAnsi="Times New Roman" w:cs="Times New Roman"/>
          <w:sz w:val="24"/>
          <w:szCs w:val="24"/>
        </w:rPr>
        <w:footnoteReference w:id="7"/>
      </w:r>
      <w:r w:rsidR="006D61D9" w:rsidRPr="00F91AB7">
        <w:rPr>
          <w:rFonts w:ascii="Times New Roman" w:hAnsi="Times New Roman" w:cs="Times New Roman"/>
          <w:sz w:val="24"/>
          <w:szCs w:val="24"/>
        </w:rPr>
        <w:t xml:space="preserve">. Šis </w:t>
      </w:r>
      <w:r w:rsidR="00914E30" w:rsidRPr="00F91AB7">
        <w:rPr>
          <w:rFonts w:ascii="Times New Roman" w:hAnsi="Times New Roman" w:cs="Times New Roman"/>
          <w:sz w:val="24"/>
          <w:szCs w:val="24"/>
        </w:rPr>
        <w:t xml:space="preserve">išaiškinimas </w:t>
      </w:r>
      <w:r w:rsidR="006D61D9" w:rsidRPr="00F91AB7">
        <w:rPr>
          <w:rFonts w:ascii="Times New Roman" w:hAnsi="Times New Roman" w:cs="Times New Roman"/>
          <w:sz w:val="24"/>
          <w:szCs w:val="24"/>
        </w:rPr>
        <w:t xml:space="preserve">iš esmės pakoregavo </w:t>
      </w:r>
      <w:r w:rsidR="00914E30" w:rsidRPr="00F91AB7">
        <w:rPr>
          <w:rFonts w:ascii="Times New Roman" w:hAnsi="Times New Roman" w:cs="Times New Roman"/>
          <w:sz w:val="24"/>
          <w:szCs w:val="24"/>
        </w:rPr>
        <w:t>Lietuvos Aukščiausiojo Teismo</w:t>
      </w:r>
      <w:r w:rsidRPr="00F91AB7">
        <w:rPr>
          <w:rFonts w:ascii="Times New Roman" w:hAnsi="Times New Roman" w:cs="Times New Roman"/>
          <w:sz w:val="24"/>
          <w:szCs w:val="24"/>
        </w:rPr>
        <w:t xml:space="preserve"> anksčiau suformuotą</w:t>
      </w:r>
      <w:r w:rsidR="006D61D9" w:rsidRPr="00F91AB7">
        <w:rPr>
          <w:rFonts w:ascii="Times New Roman" w:hAnsi="Times New Roman" w:cs="Times New Roman"/>
          <w:sz w:val="24"/>
          <w:szCs w:val="24"/>
        </w:rPr>
        <w:t xml:space="preserve"> praktiką draudimo santykių srityje – </w:t>
      </w:r>
      <w:r w:rsidR="00914E30" w:rsidRPr="00F91AB7">
        <w:rPr>
          <w:rFonts w:ascii="Times New Roman" w:hAnsi="Times New Roman" w:cs="Times New Roman"/>
          <w:sz w:val="24"/>
          <w:szCs w:val="24"/>
        </w:rPr>
        <w:t xml:space="preserve">2015 m. gegužę </w:t>
      </w:r>
      <w:r w:rsidR="006D61D9" w:rsidRPr="00F91AB7">
        <w:rPr>
          <w:rFonts w:ascii="Times New Roman" w:hAnsi="Times New Roman" w:cs="Times New Roman"/>
          <w:sz w:val="24"/>
          <w:szCs w:val="24"/>
        </w:rPr>
        <w:t xml:space="preserve">kasacinis </w:t>
      </w:r>
      <w:r w:rsidR="006D61D9" w:rsidRPr="00F91AB7">
        <w:rPr>
          <w:rFonts w:ascii="Times New Roman" w:hAnsi="Times New Roman" w:cs="Times New Roman"/>
          <w:sz w:val="24"/>
          <w:szCs w:val="24"/>
        </w:rPr>
        <w:lastRenderedPageBreak/>
        <w:t xml:space="preserve">teismas, remdamasis </w:t>
      </w:r>
      <w:r w:rsidR="00914E30" w:rsidRPr="00F91AB7">
        <w:rPr>
          <w:rFonts w:ascii="Times New Roman" w:hAnsi="Times New Roman" w:cs="Times New Roman"/>
          <w:sz w:val="24"/>
          <w:szCs w:val="24"/>
        </w:rPr>
        <w:t xml:space="preserve">aptariamu </w:t>
      </w:r>
      <w:r w:rsidR="006D61D9" w:rsidRPr="00F91AB7">
        <w:rPr>
          <w:rFonts w:ascii="Times New Roman" w:hAnsi="Times New Roman" w:cs="Times New Roman"/>
          <w:sz w:val="24"/>
          <w:szCs w:val="24"/>
        </w:rPr>
        <w:t>prejudiciniu sprendimu, išaiškino, kad</w:t>
      </w:r>
      <w:r w:rsidR="00914E30" w:rsidRPr="00F91AB7">
        <w:rPr>
          <w:rFonts w:ascii="Times New Roman" w:hAnsi="Times New Roman" w:cs="Times New Roman"/>
          <w:sz w:val="24"/>
          <w:szCs w:val="24"/>
        </w:rPr>
        <w:t xml:space="preserve"> </w:t>
      </w:r>
      <w:r w:rsidR="006D61D9" w:rsidRPr="00F91AB7">
        <w:rPr>
          <w:rFonts w:ascii="Times New Roman" w:hAnsi="Times New Roman" w:cs="Times New Roman"/>
          <w:sz w:val="24"/>
          <w:szCs w:val="24"/>
        </w:rPr>
        <w:t>ES teisė įpareigoja draudiką suteikti draudimo apsaugą be išlygų, o draudimo įmokos dydis negali priklausyti nuo to, ar draudėjas naudosis draudimo suteikiama apsauga kitoje valstybėje narėje, todėl papildomos draudimo įmokos mokėjimas dėl apdraustos transporto priemonės naudojimo teritorijos pasikeitimo prieštarauja draudimo apsaugos visoje Europos Sąjungos teritorijoje galiojimo vienos (bendros) įmokos pagrindu nuostatoms</w:t>
      </w:r>
      <w:r w:rsidR="006D61D9" w:rsidRPr="00F91AB7">
        <w:rPr>
          <w:rStyle w:val="FootnoteReference"/>
          <w:rFonts w:ascii="Times New Roman" w:hAnsi="Times New Roman" w:cs="Times New Roman"/>
          <w:sz w:val="24"/>
          <w:szCs w:val="24"/>
        </w:rPr>
        <w:footnoteReference w:id="8"/>
      </w:r>
      <w:r w:rsidR="006D61D9" w:rsidRPr="00F91AB7">
        <w:rPr>
          <w:rFonts w:ascii="Times New Roman" w:hAnsi="Times New Roman" w:cs="Times New Roman"/>
          <w:sz w:val="24"/>
          <w:szCs w:val="24"/>
        </w:rPr>
        <w:t>.</w:t>
      </w:r>
      <w:r w:rsidR="00914E30" w:rsidRPr="00F91AB7">
        <w:rPr>
          <w:rFonts w:ascii="Times New Roman" w:hAnsi="Times New Roman" w:cs="Times New Roman"/>
          <w:sz w:val="24"/>
          <w:szCs w:val="24"/>
        </w:rPr>
        <w:t xml:space="preserve"> Įdomu tai, kad 2015 m. spalį kasacinis teismas, nagrinėdamas kitą </w:t>
      </w:r>
      <w:r w:rsidR="002D3813" w:rsidRPr="00F91AB7">
        <w:rPr>
          <w:rFonts w:ascii="Times New Roman" w:hAnsi="Times New Roman" w:cs="Times New Roman"/>
          <w:sz w:val="24"/>
          <w:szCs w:val="24"/>
        </w:rPr>
        <w:t xml:space="preserve">(analogišką) </w:t>
      </w:r>
      <w:r w:rsidR="00914E30" w:rsidRPr="00F91AB7">
        <w:rPr>
          <w:rFonts w:ascii="Times New Roman" w:hAnsi="Times New Roman" w:cs="Times New Roman"/>
          <w:sz w:val="24"/>
          <w:szCs w:val="24"/>
        </w:rPr>
        <w:t>bylą</w:t>
      </w:r>
      <w:r w:rsidR="00914E30" w:rsidRPr="00F91AB7">
        <w:rPr>
          <w:rStyle w:val="FootnoteReference"/>
          <w:rFonts w:ascii="Times New Roman" w:hAnsi="Times New Roman" w:cs="Times New Roman"/>
          <w:sz w:val="24"/>
          <w:szCs w:val="24"/>
        </w:rPr>
        <w:footnoteReference w:id="9"/>
      </w:r>
      <w:r w:rsidR="00914E30" w:rsidRPr="00F91AB7">
        <w:rPr>
          <w:rFonts w:ascii="Times New Roman" w:hAnsi="Times New Roman" w:cs="Times New Roman"/>
          <w:sz w:val="24"/>
          <w:szCs w:val="24"/>
        </w:rPr>
        <w:t xml:space="preserve">, </w:t>
      </w:r>
      <w:r w:rsidR="00C06E42" w:rsidRPr="00F91AB7">
        <w:rPr>
          <w:rFonts w:ascii="Times New Roman" w:hAnsi="Times New Roman" w:cs="Times New Roman"/>
          <w:sz w:val="24"/>
          <w:szCs w:val="24"/>
        </w:rPr>
        <w:t xml:space="preserve">konstatavo, kad minėta 2015 m. gegužės mėn. kasacinio teismo priimta nutartis </w:t>
      </w:r>
      <w:r w:rsidR="00C06E42" w:rsidRPr="00F91AB7">
        <w:rPr>
          <w:rFonts w:ascii="Times New Roman" w:hAnsi="Times New Roman" w:cs="Times New Roman"/>
          <w:i/>
          <w:sz w:val="24"/>
          <w:szCs w:val="24"/>
        </w:rPr>
        <w:t>„</w:t>
      </w:r>
      <w:r w:rsidR="002D3813" w:rsidRPr="00F91AB7">
        <w:rPr>
          <w:rFonts w:ascii="Times New Roman" w:hAnsi="Times New Roman" w:cs="Times New Roman"/>
          <w:i/>
          <w:sz w:val="24"/>
          <w:szCs w:val="24"/>
        </w:rPr>
        <w:t xml:space="preserve">atitinka </w:t>
      </w:r>
      <w:r w:rsidR="006D61D9" w:rsidRPr="00F91AB7">
        <w:rPr>
          <w:rFonts w:ascii="Times New Roman" w:hAnsi="Times New Roman" w:cs="Times New Roman"/>
          <w:i/>
          <w:sz w:val="24"/>
          <w:szCs w:val="24"/>
        </w:rPr>
        <w:t>konstitucinės teismo precedento doktrinos kriterijus</w:t>
      </w:r>
      <w:r w:rsidR="00C06E42" w:rsidRPr="00F91AB7">
        <w:rPr>
          <w:rFonts w:ascii="Times New Roman" w:hAnsi="Times New Roman" w:cs="Times New Roman"/>
          <w:i/>
          <w:sz w:val="24"/>
          <w:szCs w:val="24"/>
        </w:rPr>
        <w:t>“</w:t>
      </w:r>
      <w:r w:rsidR="006D61D9" w:rsidRPr="00F91AB7">
        <w:rPr>
          <w:rFonts w:ascii="Times New Roman" w:hAnsi="Times New Roman" w:cs="Times New Roman"/>
          <w:sz w:val="24"/>
          <w:szCs w:val="24"/>
        </w:rPr>
        <w:t>.</w:t>
      </w:r>
      <w:r w:rsidR="00BA66AB" w:rsidRPr="00F91AB7">
        <w:rPr>
          <w:rFonts w:ascii="Times New Roman" w:hAnsi="Times New Roman" w:cs="Times New Roman"/>
          <w:sz w:val="24"/>
          <w:szCs w:val="24"/>
        </w:rPr>
        <w:t xml:space="preserve"> Tokių pavyzdžių yra ir daugiau – </w:t>
      </w:r>
      <w:r w:rsidR="005A3790" w:rsidRPr="00F91AB7">
        <w:rPr>
          <w:rFonts w:ascii="Times New Roman" w:hAnsi="Times New Roman" w:cs="Times New Roman"/>
          <w:sz w:val="24"/>
          <w:szCs w:val="24"/>
        </w:rPr>
        <w:t xml:space="preserve">štai </w:t>
      </w:r>
      <w:r w:rsidR="00BA66AB" w:rsidRPr="00F91AB7">
        <w:rPr>
          <w:rFonts w:ascii="Times New Roman" w:hAnsi="Times New Roman" w:cs="Times New Roman"/>
          <w:sz w:val="24"/>
          <w:szCs w:val="24"/>
        </w:rPr>
        <w:t xml:space="preserve">2015 m. spalio mėn. kasacinis teismas, nagrinėdamas bylą </w:t>
      </w:r>
      <w:r w:rsidR="009749AF" w:rsidRPr="00F91AB7">
        <w:rPr>
          <w:rFonts w:ascii="Times New Roman" w:hAnsi="Times New Roman" w:cs="Times New Roman"/>
          <w:sz w:val="24"/>
          <w:szCs w:val="24"/>
        </w:rPr>
        <w:t>dėl sutuoktinių pareigos informuoti kreditor</w:t>
      </w:r>
      <w:r w:rsidR="00524560" w:rsidRPr="00F91AB7">
        <w:rPr>
          <w:rFonts w:ascii="Times New Roman" w:hAnsi="Times New Roman" w:cs="Times New Roman"/>
          <w:sz w:val="24"/>
          <w:szCs w:val="24"/>
        </w:rPr>
        <w:t>ius apie santuokos nutraukimo bei</w:t>
      </w:r>
      <w:r w:rsidR="009749AF" w:rsidRPr="00F91AB7">
        <w:rPr>
          <w:rFonts w:ascii="Times New Roman" w:hAnsi="Times New Roman" w:cs="Times New Roman"/>
          <w:sz w:val="24"/>
          <w:szCs w:val="24"/>
        </w:rPr>
        <w:t xml:space="preserve"> turto dalybų procesą</w:t>
      </w:r>
      <w:r w:rsidR="00524560" w:rsidRPr="00F91AB7">
        <w:rPr>
          <w:rFonts w:ascii="Times New Roman" w:hAnsi="Times New Roman" w:cs="Times New Roman"/>
          <w:sz w:val="24"/>
          <w:szCs w:val="24"/>
        </w:rPr>
        <w:t xml:space="preserve"> ir</w:t>
      </w:r>
      <w:r w:rsidR="009749AF" w:rsidRPr="00F91AB7">
        <w:rPr>
          <w:rFonts w:ascii="Times New Roman" w:hAnsi="Times New Roman" w:cs="Times New Roman"/>
          <w:sz w:val="24"/>
          <w:szCs w:val="24"/>
        </w:rPr>
        <w:t xml:space="preserve"> kreditorių teisių apsaugos</w:t>
      </w:r>
      <w:r w:rsidR="00863DD3" w:rsidRPr="00F91AB7">
        <w:rPr>
          <w:rFonts w:ascii="Times New Roman" w:hAnsi="Times New Roman" w:cs="Times New Roman"/>
          <w:sz w:val="24"/>
          <w:szCs w:val="24"/>
        </w:rPr>
        <w:t>, pažymėjo, kad š</w:t>
      </w:r>
      <w:r w:rsidR="009749AF" w:rsidRPr="00F91AB7">
        <w:rPr>
          <w:rFonts w:ascii="Times New Roman" w:hAnsi="Times New Roman" w:cs="Times New Roman"/>
          <w:sz w:val="24"/>
          <w:szCs w:val="24"/>
        </w:rPr>
        <w:t>iuo klausimu kasacinis teismas yra priėmęs ne vieną nutartį</w:t>
      </w:r>
      <w:r w:rsidR="00863DD3" w:rsidRPr="00F91AB7">
        <w:rPr>
          <w:rStyle w:val="FootnoteReference"/>
          <w:rFonts w:ascii="Times New Roman" w:hAnsi="Times New Roman" w:cs="Times New Roman"/>
          <w:sz w:val="24"/>
          <w:szCs w:val="24"/>
        </w:rPr>
        <w:footnoteReference w:id="10"/>
      </w:r>
      <w:r w:rsidR="009749AF" w:rsidRPr="00F91AB7">
        <w:rPr>
          <w:rFonts w:ascii="Times New Roman" w:hAnsi="Times New Roman" w:cs="Times New Roman"/>
          <w:sz w:val="24"/>
          <w:szCs w:val="24"/>
        </w:rPr>
        <w:t xml:space="preserve">, kurių dalis dėl kreditorių teisių apsaugos ir sutuoktinių pareigos informuoti kreditorius apie santuokos nutraukimo ir turto dalybų procesą </w:t>
      </w:r>
      <w:r w:rsidR="00524560" w:rsidRPr="00F91AB7">
        <w:rPr>
          <w:rFonts w:ascii="Times New Roman" w:hAnsi="Times New Roman" w:cs="Times New Roman"/>
          <w:i/>
          <w:sz w:val="24"/>
          <w:szCs w:val="24"/>
        </w:rPr>
        <w:t>„</w:t>
      </w:r>
      <w:r w:rsidR="009749AF" w:rsidRPr="00F91AB7">
        <w:rPr>
          <w:rFonts w:ascii="Times New Roman" w:hAnsi="Times New Roman" w:cs="Times New Roman"/>
          <w:i/>
          <w:sz w:val="24"/>
          <w:szCs w:val="24"/>
        </w:rPr>
        <w:t>atitinka konstitucinės teismo precedento doktrinos kriterijus</w:t>
      </w:r>
      <w:r w:rsidR="00524560" w:rsidRPr="00F91AB7">
        <w:rPr>
          <w:rFonts w:ascii="Times New Roman" w:hAnsi="Times New Roman" w:cs="Times New Roman"/>
          <w:i/>
          <w:sz w:val="24"/>
          <w:szCs w:val="24"/>
        </w:rPr>
        <w:t>“</w:t>
      </w:r>
      <w:r w:rsidR="00524560" w:rsidRPr="00F91AB7">
        <w:rPr>
          <w:rFonts w:ascii="Times New Roman" w:hAnsi="Times New Roman" w:cs="Times New Roman"/>
          <w:sz w:val="24"/>
          <w:szCs w:val="24"/>
        </w:rPr>
        <w:t>.</w:t>
      </w:r>
    </w:p>
    <w:p w:rsidR="00524560" w:rsidRPr="00F91AB7" w:rsidRDefault="00524560" w:rsidP="006F1AB8">
      <w:pPr>
        <w:spacing w:after="0" w:line="240" w:lineRule="auto"/>
        <w:jc w:val="both"/>
        <w:rPr>
          <w:rFonts w:ascii="Times New Roman" w:hAnsi="Times New Roman" w:cs="Times New Roman"/>
          <w:sz w:val="24"/>
          <w:szCs w:val="24"/>
        </w:rPr>
      </w:pPr>
    </w:p>
    <w:p w:rsidR="008C44B9" w:rsidRPr="00F91AB7" w:rsidRDefault="00EF477F" w:rsidP="006F1AB8">
      <w:pPr>
        <w:spacing w:after="0" w:line="240" w:lineRule="auto"/>
        <w:jc w:val="both"/>
        <w:rPr>
          <w:rFonts w:ascii="Times New Roman" w:eastAsia="Times New Roman" w:hAnsi="Times New Roman" w:cs="Times New Roman"/>
          <w:sz w:val="24"/>
          <w:szCs w:val="24"/>
          <w:lang w:eastAsia="lt-LT"/>
        </w:rPr>
      </w:pPr>
      <w:r w:rsidRPr="00F91AB7">
        <w:rPr>
          <w:rFonts w:ascii="Times New Roman" w:hAnsi="Times New Roman" w:cs="Times New Roman"/>
          <w:sz w:val="24"/>
          <w:szCs w:val="24"/>
        </w:rPr>
        <w:t>M</w:t>
      </w:r>
      <w:r w:rsidR="00296458" w:rsidRPr="00F91AB7">
        <w:rPr>
          <w:rFonts w:ascii="Times New Roman" w:hAnsi="Times New Roman" w:cs="Times New Roman"/>
          <w:sz w:val="24"/>
          <w:szCs w:val="24"/>
        </w:rPr>
        <w:t>anytina, kad aptarta</w:t>
      </w:r>
      <w:r w:rsidR="00524560" w:rsidRPr="00F91AB7">
        <w:rPr>
          <w:rFonts w:ascii="Times New Roman" w:hAnsi="Times New Roman" w:cs="Times New Roman"/>
          <w:sz w:val="24"/>
          <w:szCs w:val="24"/>
        </w:rPr>
        <w:t xml:space="preserve"> tendencija, kuomet kasacinis teismas aiškiai identifikuoja, kuriose jo nutartyse pateikti išaiškinimai atitinka konstitucinės teismo precedento doktrinos kriterijus, yra </w:t>
      </w:r>
      <w:r w:rsidR="005D53E6" w:rsidRPr="00F91AB7">
        <w:rPr>
          <w:rFonts w:ascii="Times New Roman" w:hAnsi="Times New Roman" w:cs="Times New Roman"/>
          <w:sz w:val="24"/>
          <w:szCs w:val="24"/>
        </w:rPr>
        <w:t xml:space="preserve">išties </w:t>
      </w:r>
      <w:r w:rsidR="00524560" w:rsidRPr="00F91AB7">
        <w:rPr>
          <w:rFonts w:ascii="Times New Roman" w:hAnsi="Times New Roman" w:cs="Times New Roman"/>
          <w:sz w:val="24"/>
          <w:szCs w:val="24"/>
        </w:rPr>
        <w:t>sveikintina</w:t>
      </w:r>
      <w:r w:rsidR="005D53E6" w:rsidRPr="00F91AB7">
        <w:rPr>
          <w:rFonts w:ascii="Times New Roman" w:hAnsi="Times New Roman" w:cs="Times New Roman"/>
          <w:sz w:val="24"/>
          <w:szCs w:val="24"/>
        </w:rPr>
        <w:t xml:space="preserve">. </w:t>
      </w:r>
      <w:r w:rsidRPr="00F91AB7">
        <w:rPr>
          <w:rFonts w:ascii="Times New Roman" w:eastAsia="Times New Roman" w:hAnsi="Times New Roman" w:cs="Times New Roman"/>
          <w:sz w:val="24"/>
          <w:szCs w:val="24"/>
          <w:lang w:eastAsia="lt-LT"/>
        </w:rPr>
        <w:t xml:space="preserve">Žinoma, nederėtų pamiršti, </w:t>
      </w:r>
      <w:r w:rsidRPr="00F91AB7">
        <w:rPr>
          <w:rFonts w:ascii="Times New Roman" w:hAnsi="Times New Roman" w:cs="Times New Roman"/>
          <w:sz w:val="24"/>
          <w:szCs w:val="24"/>
          <w:shd w:val="clear" w:color="auto" w:fill="FFFFFF"/>
        </w:rPr>
        <w:t xml:space="preserve">kad </w:t>
      </w:r>
      <w:r w:rsidRPr="00F91AB7">
        <w:rPr>
          <w:rFonts w:ascii="Times New Roman" w:eastAsia="Times New Roman" w:hAnsi="Times New Roman" w:cs="Times New Roman"/>
          <w:sz w:val="24"/>
          <w:szCs w:val="24"/>
          <w:lang w:eastAsia="lt-LT"/>
        </w:rPr>
        <w:t xml:space="preserve">teismų precedentų, kaip teisės šaltinių, reikšmės negalima pervertinti, juo labiau suabsoliutinti. Vis dėlto, aiškus precedentų identifikavimas </w:t>
      </w:r>
      <w:r w:rsidR="00F91AB7" w:rsidRPr="00F91AB7">
        <w:rPr>
          <w:rFonts w:ascii="Times New Roman" w:eastAsia="Times New Roman" w:hAnsi="Times New Roman" w:cs="Times New Roman"/>
          <w:sz w:val="24"/>
          <w:szCs w:val="24"/>
          <w:lang w:eastAsia="lt-LT"/>
        </w:rPr>
        <w:t xml:space="preserve">prisideda prie tinkamo teisinio saugumo principo įgyvendinimo, leisdamas </w:t>
      </w:r>
      <w:r w:rsidRPr="00F91AB7">
        <w:rPr>
          <w:rFonts w:ascii="Times New Roman" w:eastAsia="Times New Roman" w:hAnsi="Times New Roman" w:cs="Times New Roman"/>
          <w:sz w:val="24"/>
          <w:szCs w:val="24"/>
          <w:lang w:eastAsia="lt-LT"/>
        </w:rPr>
        <w:t xml:space="preserve">kurti </w:t>
      </w:r>
      <w:r w:rsidR="005D53E6" w:rsidRPr="00F91AB7">
        <w:rPr>
          <w:rFonts w:ascii="Times New Roman" w:hAnsi="Times New Roman" w:cs="Times New Roman"/>
          <w:sz w:val="24"/>
          <w:szCs w:val="24"/>
        </w:rPr>
        <w:t>patikim</w:t>
      </w:r>
      <w:r w:rsidRPr="00F91AB7">
        <w:rPr>
          <w:rFonts w:ascii="Times New Roman" w:hAnsi="Times New Roman" w:cs="Times New Roman"/>
          <w:sz w:val="24"/>
          <w:szCs w:val="24"/>
        </w:rPr>
        <w:t>esnę, saugesnę</w:t>
      </w:r>
      <w:r w:rsidR="005D53E6" w:rsidRPr="00F91AB7">
        <w:rPr>
          <w:rFonts w:ascii="Times New Roman" w:hAnsi="Times New Roman" w:cs="Times New Roman"/>
          <w:sz w:val="24"/>
          <w:szCs w:val="24"/>
        </w:rPr>
        <w:t xml:space="preserve"> teisin</w:t>
      </w:r>
      <w:r w:rsidRPr="00F91AB7">
        <w:rPr>
          <w:rFonts w:ascii="Times New Roman" w:hAnsi="Times New Roman" w:cs="Times New Roman"/>
          <w:sz w:val="24"/>
          <w:szCs w:val="24"/>
        </w:rPr>
        <w:t>ę</w:t>
      </w:r>
      <w:r w:rsidR="005D53E6" w:rsidRPr="00F91AB7">
        <w:rPr>
          <w:rFonts w:ascii="Times New Roman" w:hAnsi="Times New Roman" w:cs="Times New Roman"/>
          <w:sz w:val="24"/>
          <w:szCs w:val="24"/>
        </w:rPr>
        <w:t xml:space="preserve"> sistem</w:t>
      </w:r>
      <w:r w:rsidRPr="00F91AB7">
        <w:rPr>
          <w:rFonts w:ascii="Times New Roman" w:hAnsi="Times New Roman" w:cs="Times New Roman"/>
          <w:sz w:val="24"/>
          <w:szCs w:val="24"/>
        </w:rPr>
        <w:t>ą</w:t>
      </w:r>
      <w:r w:rsidR="005D53E6" w:rsidRPr="00F91AB7">
        <w:rPr>
          <w:rFonts w:ascii="Times New Roman" w:hAnsi="Times New Roman" w:cs="Times New Roman"/>
          <w:sz w:val="24"/>
          <w:szCs w:val="24"/>
        </w:rPr>
        <w:t xml:space="preserve"> ir </w:t>
      </w:r>
      <w:r w:rsidR="00524560" w:rsidRPr="00F91AB7">
        <w:rPr>
          <w:rFonts w:ascii="Times New Roman" w:hAnsi="Times New Roman" w:cs="Times New Roman"/>
          <w:sz w:val="24"/>
          <w:szCs w:val="24"/>
        </w:rPr>
        <w:t>užtikrin</w:t>
      </w:r>
      <w:r w:rsidR="00F91AB7" w:rsidRPr="00F91AB7">
        <w:rPr>
          <w:rFonts w:ascii="Times New Roman" w:hAnsi="Times New Roman" w:cs="Times New Roman"/>
          <w:sz w:val="24"/>
          <w:szCs w:val="24"/>
        </w:rPr>
        <w:t>damas</w:t>
      </w:r>
      <w:r w:rsidRPr="00F91AB7">
        <w:rPr>
          <w:rFonts w:ascii="Times New Roman" w:hAnsi="Times New Roman" w:cs="Times New Roman"/>
          <w:sz w:val="24"/>
          <w:szCs w:val="24"/>
        </w:rPr>
        <w:t xml:space="preserve"> maksimalų teis</w:t>
      </w:r>
      <w:r w:rsidRPr="00F91AB7">
        <w:rPr>
          <w:rFonts w:ascii="Times New Roman" w:eastAsia="Times New Roman" w:hAnsi="Times New Roman" w:cs="Times New Roman"/>
          <w:sz w:val="24"/>
          <w:szCs w:val="24"/>
          <w:lang w:eastAsia="lt-LT"/>
        </w:rPr>
        <w:t>mų sprendimų prognozuojamumą</w:t>
      </w:r>
      <w:r w:rsidR="00524560" w:rsidRPr="00F91AB7">
        <w:rPr>
          <w:rFonts w:ascii="Times New Roman" w:hAnsi="Times New Roman" w:cs="Times New Roman"/>
          <w:sz w:val="24"/>
          <w:szCs w:val="24"/>
        </w:rPr>
        <w:t xml:space="preserve">, </w:t>
      </w:r>
      <w:r w:rsidRPr="00F91AB7">
        <w:rPr>
          <w:rFonts w:ascii="Times New Roman" w:hAnsi="Times New Roman" w:cs="Times New Roman"/>
          <w:sz w:val="24"/>
          <w:szCs w:val="24"/>
        </w:rPr>
        <w:t>kylantį</w:t>
      </w:r>
      <w:r w:rsidR="005D53E6" w:rsidRPr="00F91AB7">
        <w:rPr>
          <w:rFonts w:ascii="Times New Roman" w:hAnsi="Times New Roman" w:cs="Times New Roman"/>
          <w:sz w:val="24"/>
          <w:szCs w:val="24"/>
        </w:rPr>
        <w:t xml:space="preserve"> </w:t>
      </w:r>
      <w:r w:rsidR="00524560" w:rsidRPr="00F91AB7">
        <w:rPr>
          <w:rFonts w:ascii="Times New Roman" w:hAnsi="Times New Roman" w:cs="Times New Roman"/>
          <w:sz w:val="24"/>
          <w:szCs w:val="24"/>
        </w:rPr>
        <w:t xml:space="preserve">iš reikalavimo </w:t>
      </w:r>
      <w:r w:rsidR="00524560" w:rsidRPr="00F91AB7">
        <w:rPr>
          <w:rFonts w:ascii="Times New Roman" w:eastAsia="Times New Roman" w:hAnsi="Times New Roman" w:cs="Times New Roman"/>
          <w:sz w:val="24"/>
          <w:szCs w:val="24"/>
          <w:lang w:eastAsia="lt-LT"/>
        </w:rPr>
        <w:t xml:space="preserve">formuoti vienodą teismų praktiką. </w:t>
      </w:r>
      <w:r w:rsidRPr="00F91AB7">
        <w:rPr>
          <w:rFonts w:ascii="Times New Roman" w:eastAsia="Times New Roman" w:hAnsi="Times New Roman" w:cs="Times New Roman"/>
          <w:sz w:val="24"/>
          <w:szCs w:val="24"/>
          <w:lang w:eastAsia="lt-LT"/>
        </w:rPr>
        <w:t>Tokiu būdu te</w:t>
      </w:r>
      <w:r w:rsidR="00524560" w:rsidRPr="00F91AB7">
        <w:rPr>
          <w:rFonts w:ascii="Times New Roman" w:eastAsia="Times New Roman" w:hAnsi="Times New Roman" w:cs="Times New Roman"/>
          <w:sz w:val="24"/>
          <w:szCs w:val="24"/>
          <w:lang w:eastAsia="lt-LT"/>
        </w:rPr>
        <w:t>isinio ginčo šal</w:t>
      </w:r>
      <w:r w:rsidR="002D7048" w:rsidRPr="00F91AB7">
        <w:rPr>
          <w:rFonts w:ascii="Times New Roman" w:eastAsia="Times New Roman" w:hAnsi="Times New Roman" w:cs="Times New Roman"/>
          <w:sz w:val="24"/>
          <w:szCs w:val="24"/>
          <w:lang w:eastAsia="lt-LT"/>
        </w:rPr>
        <w:t xml:space="preserve">ys gali iš anksto </w:t>
      </w:r>
      <w:r w:rsidR="001E2259">
        <w:rPr>
          <w:rFonts w:ascii="Times New Roman" w:eastAsia="Times New Roman" w:hAnsi="Times New Roman" w:cs="Times New Roman"/>
          <w:sz w:val="24"/>
          <w:szCs w:val="24"/>
          <w:lang w:eastAsia="lt-LT"/>
        </w:rPr>
        <w:t xml:space="preserve">numatyti savo veiksmų pasekmes, o kilus ginčui - </w:t>
      </w:r>
      <w:r w:rsidR="002D7048" w:rsidRPr="00F91AB7">
        <w:rPr>
          <w:rFonts w:ascii="Times New Roman" w:eastAsia="Times New Roman" w:hAnsi="Times New Roman" w:cs="Times New Roman"/>
          <w:sz w:val="24"/>
          <w:szCs w:val="24"/>
          <w:lang w:eastAsia="lt-LT"/>
        </w:rPr>
        <w:t xml:space="preserve">prognozuoti </w:t>
      </w:r>
      <w:r w:rsidR="001E2259">
        <w:rPr>
          <w:rFonts w:ascii="Times New Roman" w:eastAsia="Times New Roman" w:hAnsi="Times New Roman" w:cs="Times New Roman"/>
          <w:sz w:val="24"/>
          <w:szCs w:val="24"/>
          <w:lang w:eastAsia="lt-LT"/>
        </w:rPr>
        <w:t>jo</w:t>
      </w:r>
      <w:r w:rsidR="002D7048" w:rsidRPr="00F91AB7">
        <w:rPr>
          <w:rFonts w:ascii="Times New Roman" w:eastAsia="Times New Roman" w:hAnsi="Times New Roman" w:cs="Times New Roman"/>
          <w:sz w:val="24"/>
          <w:szCs w:val="24"/>
          <w:lang w:eastAsia="lt-LT"/>
        </w:rPr>
        <w:t xml:space="preserve"> baigtį</w:t>
      </w:r>
      <w:r w:rsidR="00524560" w:rsidRPr="00F91AB7">
        <w:rPr>
          <w:rFonts w:ascii="Times New Roman" w:eastAsia="Times New Roman" w:hAnsi="Times New Roman" w:cs="Times New Roman"/>
          <w:sz w:val="24"/>
          <w:szCs w:val="24"/>
          <w:lang w:eastAsia="lt-LT"/>
        </w:rPr>
        <w:t xml:space="preserve">. </w:t>
      </w:r>
      <w:r w:rsidR="005D53E6" w:rsidRPr="00F91AB7">
        <w:rPr>
          <w:rFonts w:ascii="Times New Roman" w:eastAsia="Times New Roman" w:hAnsi="Times New Roman" w:cs="Times New Roman"/>
          <w:sz w:val="24"/>
          <w:szCs w:val="24"/>
          <w:lang w:eastAsia="lt-LT"/>
        </w:rPr>
        <w:t>P</w:t>
      </w:r>
      <w:r w:rsidR="00524560" w:rsidRPr="00F91AB7">
        <w:rPr>
          <w:rFonts w:ascii="Times New Roman" w:eastAsia="Times New Roman" w:hAnsi="Times New Roman" w:cs="Times New Roman"/>
          <w:sz w:val="24"/>
          <w:szCs w:val="24"/>
          <w:lang w:eastAsia="lt-LT"/>
        </w:rPr>
        <w:t>rie teisinės sistemos efektyvumo stiprinimo</w:t>
      </w:r>
      <w:r w:rsidR="005D53E6" w:rsidRPr="00F91AB7">
        <w:rPr>
          <w:rFonts w:ascii="Times New Roman" w:eastAsia="Times New Roman" w:hAnsi="Times New Roman" w:cs="Times New Roman"/>
          <w:sz w:val="24"/>
          <w:szCs w:val="24"/>
          <w:lang w:eastAsia="lt-LT"/>
        </w:rPr>
        <w:t xml:space="preserve"> tai </w:t>
      </w:r>
      <w:r w:rsidR="00DD7FC6" w:rsidRPr="00F91AB7">
        <w:rPr>
          <w:rFonts w:ascii="Times New Roman" w:eastAsia="Times New Roman" w:hAnsi="Times New Roman" w:cs="Times New Roman"/>
          <w:sz w:val="24"/>
          <w:szCs w:val="24"/>
          <w:lang w:eastAsia="lt-LT"/>
        </w:rPr>
        <w:t xml:space="preserve">gali prisidėti </w:t>
      </w:r>
      <w:r w:rsidR="005D53E6" w:rsidRPr="00F91AB7">
        <w:rPr>
          <w:rFonts w:ascii="Times New Roman" w:eastAsia="Times New Roman" w:hAnsi="Times New Roman" w:cs="Times New Roman"/>
          <w:sz w:val="24"/>
          <w:szCs w:val="24"/>
          <w:lang w:eastAsia="lt-LT"/>
        </w:rPr>
        <w:t>pačiomis įvairiosiomis formomis</w:t>
      </w:r>
      <w:r w:rsidR="00524560" w:rsidRPr="00F91AB7">
        <w:rPr>
          <w:rFonts w:ascii="Times New Roman" w:eastAsia="Times New Roman" w:hAnsi="Times New Roman" w:cs="Times New Roman"/>
          <w:sz w:val="24"/>
          <w:szCs w:val="24"/>
          <w:lang w:eastAsia="lt-LT"/>
        </w:rPr>
        <w:t xml:space="preserve">, pvz.: aiškus precedentų identifikavimas </w:t>
      </w:r>
      <w:r w:rsidR="005D53E6" w:rsidRPr="00F91AB7">
        <w:rPr>
          <w:rFonts w:ascii="Times New Roman" w:eastAsia="Times New Roman" w:hAnsi="Times New Roman" w:cs="Times New Roman"/>
          <w:sz w:val="24"/>
          <w:szCs w:val="24"/>
          <w:lang w:eastAsia="lt-LT"/>
        </w:rPr>
        <w:t xml:space="preserve">net </w:t>
      </w:r>
      <w:r w:rsidR="00524560" w:rsidRPr="00F91AB7">
        <w:rPr>
          <w:rFonts w:ascii="Times New Roman" w:eastAsia="Times New Roman" w:hAnsi="Times New Roman" w:cs="Times New Roman"/>
          <w:sz w:val="24"/>
          <w:szCs w:val="24"/>
          <w:lang w:eastAsia="lt-LT"/>
        </w:rPr>
        <w:t xml:space="preserve">gali sumažinti teismų darbo krūvį, </w:t>
      </w:r>
      <w:r w:rsidR="005D53E6" w:rsidRPr="00F91AB7">
        <w:rPr>
          <w:rFonts w:ascii="Times New Roman" w:eastAsia="Times New Roman" w:hAnsi="Times New Roman" w:cs="Times New Roman"/>
          <w:sz w:val="24"/>
          <w:szCs w:val="24"/>
          <w:lang w:eastAsia="lt-LT"/>
        </w:rPr>
        <w:t xml:space="preserve">kadangi </w:t>
      </w:r>
      <w:r w:rsidR="00524560" w:rsidRPr="00F91AB7">
        <w:rPr>
          <w:rFonts w:ascii="Times New Roman" w:eastAsia="Times New Roman" w:hAnsi="Times New Roman" w:cs="Times New Roman"/>
          <w:sz w:val="24"/>
          <w:szCs w:val="24"/>
          <w:lang w:eastAsia="lt-LT"/>
        </w:rPr>
        <w:t>advokatas, tiksliai žinodamas, kad konkrečiu klausimu yra sukurtas precedentas, analogiškoje byloje ne</w:t>
      </w:r>
      <w:r w:rsidR="00B92BEB" w:rsidRPr="00F91AB7">
        <w:rPr>
          <w:rFonts w:ascii="Times New Roman" w:eastAsia="Times New Roman" w:hAnsi="Times New Roman" w:cs="Times New Roman"/>
          <w:sz w:val="24"/>
          <w:szCs w:val="24"/>
          <w:lang w:eastAsia="lt-LT"/>
        </w:rPr>
        <w:t xml:space="preserve">rekomenduotų </w:t>
      </w:r>
      <w:r w:rsidR="00524560" w:rsidRPr="00F91AB7">
        <w:rPr>
          <w:rFonts w:ascii="Times New Roman" w:eastAsia="Times New Roman" w:hAnsi="Times New Roman" w:cs="Times New Roman"/>
          <w:sz w:val="24"/>
          <w:szCs w:val="24"/>
          <w:lang w:eastAsia="lt-LT"/>
        </w:rPr>
        <w:t xml:space="preserve">savo klientui bylinėtis, jei minėtasis precedentas yra jam nepalankus. </w:t>
      </w:r>
    </w:p>
    <w:p w:rsidR="008C44B9" w:rsidRPr="00F91AB7" w:rsidRDefault="008C44B9" w:rsidP="006F1AB8">
      <w:pPr>
        <w:spacing w:after="0" w:line="240" w:lineRule="auto"/>
        <w:jc w:val="both"/>
        <w:rPr>
          <w:rFonts w:ascii="Times New Roman" w:eastAsia="Times New Roman" w:hAnsi="Times New Roman" w:cs="Times New Roman"/>
          <w:sz w:val="24"/>
          <w:szCs w:val="24"/>
          <w:lang w:eastAsia="lt-LT"/>
        </w:rPr>
      </w:pPr>
    </w:p>
    <w:p w:rsidR="00D16241" w:rsidRPr="00F91AB7" w:rsidRDefault="00530663" w:rsidP="00530663">
      <w:pPr>
        <w:spacing w:after="0" w:line="240" w:lineRule="auto"/>
        <w:jc w:val="both"/>
        <w:rPr>
          <w:rFonts w:ascii="Times New Roman" w:eastAsia="Times New Roman" w:hAnsi="Times New Roman" w:cs="Times New Roman"/>
          <w:sz w:val="24"/>
          <w:szCs w:val="24"/>
          <w:lang w:eastAsia="lt-LT"/>
        </w:rPr>
      </w:pPr>
      <w:r w:rsidRPr="00F91AB7">
        <w:rPr>
          <w:rFonts w:ascii="Times New Roman" w:eastAsia="Times New Roman" w:hAnsi="Times New Roman" w:cs="Times New Roman"/>
          <w:sz w:val="24"/>
          <w:szCs w:val="24"/>
          <w:lang w:eastAsia="lt-LT"/>
        </w:rPr>
        <w:t>Verta paminėti, kad Teismų įstatymas</w:t>
      </w:r>
      <w:r w:rsidRPr="00F91AB7">
        <w:rPr>
          <w:rFonts w:ascii="Times New Roman" w:eastAsia="Times New Roman" w:hAnsi="Times New Roman" w:cs="Times New Roman"/>
          <w:sz w:val="24"/>
          <w:szCs w:val="24"/>
          <w:vertAlign w:val="superscript"/>
          <w:lang w:eastAsia="lt-LT"/>
        </w:rPr>
        <w:footnoteReference w:id="11"/>
      </w:r>
      <w:r w:rsidRPr="00F91AB7">
        <w:rPr>
          <w:rFonts w:ascii="Times New Roman" w:eastAsia="Times New Roman" w:hAnsi="Times New Roman" w:cs="Times New Roman"/>
          <w:sz w:val="24"/>
          <w:szCs w:val="24"/>
          <w:lang w:eastAsia="lt-LT"/>
        </w:rPr>
        <w:t xml:space="preserve"> įtvirtina, kad plėtodamas ir užtikrindamas vienodą teisės aiškinimą ir taikymą atitinkamai bendrosios kompetencijos ir administraciniuose teismuose, Lietuvos Aukščiausiasis Teismas ir Lietuvos vyriausiasis administracinis teismas analizuoja nacionalinių, Europos Sąjungos ir tarptautinių teismų praktiką, kitus teisės šaltinius, rengia </w:t>
      </w:r>
      <w:r w:rsidR="002D7048" w:rsidRPr="00F91AB7">
        <w:rPr>
          <w:rFonts w:ascii="Times New Roman" w:eastAsia="Times New Roman" w:hAnsi="Times New Roman" w:cs="Times New Roman"/>
          <w:sz w:val="24"/>
          <w:szCs w:val="24"/>
          <w:lang w:eastAsia="lt-LT"/>
        </w:rPr>
        <w:t>teismų praktikos apibendrinimus ir apžvalgas</w:t>
      </w:r>
      <w:r w:rsidRPr="00F91AB7">
        <w:rPr>
          <w:rFonts w:ascii="Times New Roman" w:eastAsia="Times New Roman" w:hAnsi="Times New Roman" w:cs="Times New Roman"/>
          <w:sz w:val="24"/>
          <w:szCs w:val="24"/>
          <w:lang w:eastAsia="lt-LT"/>
        </w:rPr>
        <w:t xml:space="preserve">. </w:t>
      </w:r>
      <w:r w:rsidR="00A51EE6" w:rsidRPr="00F91AB7">
        <w:rPr>
          <w:rFonts w:ascii="Times New Roman" w:eastAsia="Times New Roman" w:hAnsi="Times New Roman" w:cs="Times New Roman"/>
          <w:sz w:val="24"/>
          <w:szCs w:val="24"/>
          <w:lang w:eastAsia="lt-LT"/>
        </w:rPr>
        <w:t xml:space="preserve">Atsižvelgiant į tai, </w:t>
      </w:r>
      <w:r w:rsidRPr="00F91AB7">
        <w:rPr>
          <w:rFonts w:ascii="Times New Roman" w:eastAsia="Times New Roman" w:hAnsi="Times New Roman" w:cs="Times New Roman"/>
          <w:sz w:val="24"/>
          <w:szCs w:val="24"/>
          <w:lang w:eastAsia="lt-LT"/>
        </w:rPr>
        <w:t xml:space="preserve">būtų galima daryti prielaidą, kad precedentų identifikavimas gali vykti ne tik nagrinėjant konkrečias bylas – tai gali būti daroma ir kitais būdais, pvz.: rengiant atitinkamas precedentų apžvalgas. Vis dėlto, </w:t>
      </w:r>
      <w:r w:rsidR="00D16241" w:rsidRPr="00F91AB7">
        <w:rPr>
          <w:rFonts w:ascii="Times New Roman" w:eastAsia="Times New Roman" w:hAnsi="Times New Roman" w:cs="Times New Roman"/>
          <w:sz w:val="24"/>
          <w:szCs w:val="24"/>
          <w:lang w:eastAsia="lt-LT"/>
        </w:rPr>
        <w:t xml:space="preserve">precedentų identifikavimas yra ne kas kita, kaip </w:t>
      </w:r>
      <w:r w:rsidR="00D16241" w:rsidRPr="00F91AB7">
        <w:rPr>
          <w:rFonts w:ascii="Times New Roman" w:hAnsi="Times New Roman" w:cs="Times New Roman"/>
          <w:color w:val="000000"/>
          <w:sz w:val="24"/>
          <w:szCs w:val="24"/>
          <w:shd w:val="clear" w:color="auto" w:fill="FFFFFF"/>
        </w:rPr>
        <w:t>vienodos (nuoseklios, neprieštaringos) teismų praktikos formavimo sąlyga</w:t>
      </w:r>
      <w:r w:rsidR="00D16241" w:rsidRPr="00F91AB7">
        <w:rPr>
          <w:rFonts w:ascii="Times New Roman" w:eastAsia="Times New Roman" w:hAnsi="Times New Roman" w:cs="Times New Roman"/>
          <w:sz w:val="24"/>
          <w:szCs w:val="24"/>
          <w:lang w:eastAsia="lt-LT"/>
        </w:rPr>
        <w:t xml:space="preserve">, </w:t>
      </w:r>
      <w:r w:rsidR="00D16241" w:rsidRPr="001E2259">
        <w:rPr>
          <w:rFonts w:ascii="Times New Roman" w:eastAsia="Times New Roman" w:hAnsi="Times New Roman" w:cs="Times New Roman"/>
          <w:sz w:val="24"/>
          <w:szCs w:val="24"/>
          <w:lang w:eastAsia="lt-LT"/>
        </w:rPr>
        <w:t>tuo tarpu pagal</w:t>
      </w:r>
      <w:r w:rsidR="00E529DB" w:rsidRPr="001E2259">
        <w:rPr>
          <w:rFonts w:ascii="Times New Roman" w:eastAsia="Times New Roman" w:hAnsi="Times New Roman" w:cs="Times New Roman"/>
          <w:sz w:val="24"/>
          <w:szCs w:val="24"/>
          <w:lang w:eastAsia="lt-LT"/>
        </w:rPr>
        <w:t xml:space="preserve"> konstitucinę doktriną</w:t>
      </w:r>
      <w:r w:rsidR="00D16241" w:rsidRPr="001E2259">
        <w:rPr>
          <w:rFonts w:ascii="Times New Roman" w:eastAsia="Times New Roman" w:hAnsi="Times New Roman" w:cs="Times New Roman"/>
          <w:sz w:val="24"/>
          <w:szCs w:val="24"/>
          <w:lang w:eastAsia="lt-LT"/>
        </w:rPr>
        <w:t xml:space="preserve"> teismų praktika formuojama tik teismams patiems sprendžiant bylas.</w:t>
      </w:r>
      <w:r w:rsidR="00D16241" w:rsidRPr="001E2259">
        <w:rPr>
          <w:rFonts w:ascii="Times New Roman" w:hAnsi="Times New Roman" w:cs="Times New Roman"/>
          <w:sz w:val="24"/>
          <w:szCs w:val="24"/>
          <w:shd w:val="clear" w:color="auto" w:fill="FFFFFF"/>
        </w:rPr>
        <w:t xml:space="preserve"> Be to, </w:t>
      </w:r>
      <w:r w:rsidRPr="001E2259">
        <w:rPr>
          <w:rFonts w:ascii="Times New Roman" w:eastAsia="Times New Roman" w:hAnsi="Times New Roman" w:cs="Times New Roman"/>
          <w:sz w:val="24"/>
          <w:szCs w:val="24"/>
          <w:lang w:eastAsia="lt-LT"/>
        </w:rPr>
        <w:t>konstitucinio teismo jurisprudencijoje</w:t>
      </w:r>
      <w:r w:rsidR="00D16241" w:rsidRPr="001E2259">
        <w:rPr>
          <w:rStyle w:val="FootnoteReference"/>
          <w:rFonts w:ascii="Times New Roman" w:eastAsia="Times New Roman" w:hAnsi="Times New Roman" w:cs="Times New Roman"/>
          <w:sz w:val="24"/>
          <w:szCs w:val="24"/>
          <w:lang w:eastAsia="lt-LT"/>
        </w:rPr>
        <w:footnoteReference w:id="12"/>
      </w:r>
      <w:r w:rsidRPr="001E2259">
        <w:rPr>
          <w:rFonts w:ascii="Times New Roman" w:eastAsia="Times New Roman" w:hAnsi="Times New Roman" w:cs="Times New Roman"/>
          <w:sz w:val="24"/>
          <w:szCs w:val="24"/>
          <w:lang w:eastAsia="lt-LT"/>
        </w:rPr>
        <w:t xml:space="preserve"> yra pažymėta, kad </w:t>
      </w:r>
      <w:r w:rsidRPr="001E2259">
        <w:rPr>
          <w:rFonts w:ascii="Times New Roman" w:hAnsi="Times New Roman" w:cs="Times New Roman"/>
          <w:sz w:val="24"/>
          <w:szCs w:val="24"/>
          <w:shd w:val="clear" w:color="auto" w:fill="FFFFFF"/>
        </w:rPr>
        <w:t>aukštesnės instancijos teismai negali kištis į žemesnės instan</w:t>
      </w:r>
      <w:r w:rsidR="001E2259">
        <w:rPr>
          <w:rFonts w:ascii="Times New Roman" w:hAnsi="Times New Roman" w:cs="Times New Roman"/>
          <w:sz w:val="24"/>
          <w:szCs w:val="24"/>
          <w:shd w:val="clear" w:color="auto" w:fill="FFFFFF"/>
        </w:rPr>
        <w:t>cijos teismų nagrinėjamas bylas ir</w:t>
      </w:r>
      <w:r w:rsidRPr="001E2259">
        <w:rPr>
          <w:rFonts w:ascii="Times New Roman" w:hAnsi="Times New Roman" w:cs="Times New Roman"/>
          <w:sz w:val="24"/>
          <w:szCs w:val="24"/>
          <w:shd w:val="clear" w:color="auto" w:fill="FFFFFF"/>
        </w:rPr>
        <w:t xml:space="preserve"> teikti jiems kokių nors privalomų ar rekomendacinio pobūdžio nurodymų, kaip turi būti sprendžiamos atitinkamos bylos ir pan.</w:t>
      </w:r>
      <w:r w:rsidR="00D16241" w:rsidRPr="001E2259">
        <w:rPr>
          <w:rFonts w:ascii="Times New Roman" w:hAnsi="Times New Roman" w:cs="Times New Roman"/>
          <w:sz w:val="24"/>
          <w:szCs w:val="24"/>
          <w:shd w:val="clear" w:color="auto" w:fill="FFFFFF"/>
        </w:rPr>
        <w:t xml:space="preserve"> - </w:t>
      </w:r>
      <w:r w:rsidRPr="001E2259">
        <w:rPr>
          <w:rFonts w:ascii="Times New Roman" w:hAnsi="Times New Roman" w:cs="Times New Roman"/>
          <w:sz w:val="24"/>
          <w:szCs w:val="24"/>
          <w:shd w:val="clear" w:color="auto" w:fill="FFFFFF"/>
        </w:rPr>
        <w:t>tokie nurodymai (nesvarbu, privalomi ar rekomendacinio pobūdžio) Konstitucijos atžvilgiu būtų vertintini kaip atitinkamų teismų (teisėjų) veikimas</w:t>
      </w:r>
      <w:r w:rsidRPr="001E2259">
        <w:rPr>
          <w:rStyle w:val="apple-converted-space"/>
          <w:rFonts w:ascii="Times New Roman" w:hAnsi="Times New Roman" w:cs="Times New Roman"/>
          <w:sz w:val="24"/>
          <w:szCs w:val="24"/>
          <w:shd w:val="clear" w:color="auto" w:fill="FFFFFF"/>
        </w:rPr>
        <w:t> </w:t>
      </w:r>
      <w:r w:rsidRPr="001E2259">
        <w:rPr>
          <w:rStyle w:val="Emphasis"/>
          <w:rFonts w:ascii="Times New Roman" w:hAnsi="Times New Roman" w:cs="Times New Roman"/>
          <w:sz w:val="24"/>
          <w:szCs w:val="24"/>
          <w:shd w:val="clear" w:color="auto" w:fill="FFFFFF"/>
        </w:rPr>
        <w:t>ultra vires</w:t>
      </w:r>
      <w:r w:rsidRPr="001E2259">
        <w:rPr>
          <w:rFonts w:ascii="Times New Roman" w:hAnsi="Times New Roman" w:cs="Times New Roman"/>
          <w:sz w:val="24"/>
          <w:szCs w:val="24"/>
          <w:shd w:val="clear" w:color="auto" w:fill="FFFFFF"/>
        </w:rPr>
        <w:t xml:space="preserve">. </w:t>
      </w:r>
      <w:r w:rsidR="00D16241" w:rsidRPr="001E2259">
        <w:rPr>
          <w:rFonts w:ascii="Times New Roman" w:hAnsi="Times New Roman" w:cs="Times New Roman"/>
          <w:sz w:val="24"/>
          <w:szCs w:val="24"/>
          <w:shd w:val="clear" w:color="auto" w:fill="FFFFFF"/>
        </w:rPr>
        <w:t xml:space="preserve">Taigi abejotina, ar precedentų identifikavimas kitomis formomis (ne sprendžiant atitinkamas </w:t>
      </w:r>
      <w:r w:rsidR="00D16241" w:rsidRPr="001E2259">
        <w:rPr>
          <w:rFonts w:ascii="Times New Roman" w:hAnsi="Times New Roman" w:cs="Times New Roman"/>
          <w:sz w:val="24"/>
          <w:szCs w:val="24"/>
          <w:shd w:val="clear" w:color="auto" w:fill="FFFFFF"/>
        </w:rPr>
        <w:lastRenderedPageBreak/>
        <w:t>bylas) būtų suderinama</w:t>
      </w:r>
      <w:r w:rsidR="00886000">
        <w:rPr>
          <w:rFonts w:ascii="Times New Roman" w:hAnsi="Times New Roman" w:cs="Times New Roman"/>
          <w:sz w:val="24"/>
          <w:szCs w:val="24"/>
          <w:shd w:val="clear" w:color="auto" w:fill="FFFFFF"/>
        </w:rPr>
        <w:t>s</w:t>
      </w:r>
      <w:r w:rsidR="00D16241" w:rsidRPr="001E2259">
        <w:rPr>
          <w:rFonts w:ascii="Times New Roman" w:hAnsi="Times New Roman" w:cs="Times New Roman"/>
          <w:sz w:val="24"/>
          <w:szCs w:val="24"/>
          <w:shd w:val="clear" w:color="auto" w:fill="FFFFFF"/>
        </w:rPr>
        <w:t xml:space="preserve"> su </w:t>
      </w:r>
      <w:r w:rsidR="00E529DB" w:rsidRPr="001E2259">
        <w:rPr>
          <w:rFonts w:ascii="Times New Roman" w:hAnsi="Times New Roman" w:cs="Times New Roman"/>
          <w:sz w:val="24"/>
          <w:szCs w:val="24"/>
          <w:shd w:val="clear" w:color="auto" w:fill="FFFFFF"/>
        </w:rPr>
        <w:t xml:space="preserve">konstituciniu imperatyvu, kad </w:t>
      </w:r>
      <w:r w:rsidR="00E529DB" w:rsidRPr="001E2259">
        <w:rPr>
          <w:rFonts w:ascii="Times New Roman" w:eastAsia="Times New Roman" w:hAnsi="Times New Roman" w:cs="Times New Roman"/>
          <w:sz w:val="24"/>
          <w:szCs w:val="24"/>
          <w:lang w:eastAsia="lt-LT"/>
        </w:rPr>
        <w:t xml:space="preserve">teismų praktika </w:t>
      </w:r>
      <w:r w:rsidR="00E529DB" w:rsidRPr="00F91AB7">
        <w:rPr>
          <w:rFonts w:ascii="Times New Roman" w:eastAsia="Times New Roman" w:hAnsi="Times New Roman" w:cs="Times New Roman"/>
          <w:sz w:val="24"/>
          <w:szCs w:val="24"/>
          <w:lang w:eastAsia="lt-LT"/>
        </w:rPr>
        <w:t>formuojama tik teismams sprendžiant bylas</w:t>
      </w:r>
      <w:r w:rsidR="00E9337B" w:rsidRPr="00F91AB7">
        <w:rPr>
          <w:rFonts w:ascii="Times New Roman" w:eastAsia="Times New Roman" w:hAnsi="Times New Roman" w:cs="Times New Roman"/>
          <w:sz w:val="24"/>
          <w:szCs w:val="24"/>
          <w:lang w:eastAsia="lt-LT"/>
        </w:rPr>
        <w:t xml:space="preserve">, t.y. </w:t>
      </w:r>
      <w:r w:rsidR="00E9337B" w:rsidRPr="00F91AB7">
        <w:rPr>
          <w:rFonts w:ascii="Times New Roman" w:hAnsi="Times New Roman" w:cs="Times New Roman"/>
          <w:color w:val="000000"/>
          <w:sz w:val="24"/>
          <w:szCs w:val="24"/>
          <w:shd w:val="clear" w:color="auto" w:fill="FFFFFF"/>
        </w:rPr>
        <w:t>vykdant teisingumą, o ne teikiant rekomendacijas ar konsultacijas.</w:t>
      </w:r>
      <w:r w:rsidR="00E9337B" w:rsidRPr="00F91AB7">
        <w:rPr>
          <w:rStyle w:val="apple-converted-space"/>
          <w:rFonts w:ascii="Times New Roman" w:hAnsi="Times New Roman" w:cs="Times New Roman"/>
          <w:color w:val="000000"/>
          <w:sz w:val="24"/>
          <w:szCs w:val="24"/>
          <w:shd w:val="clear" w:color="auto" w:fill="FFFFFF"/>
        </w:rPr>
        <w:t> </w:t>
      </w:r>
    </w:p>
    <w:p w:rsidR="00D16241" w:rsidRPr="00F91AB7" w:rsidRDefault="00D16241" w:rsidP="00530663">
      <w:pPr>
        <w:spacing w:after="0" w:line="240" w:lineRule="auto"/>
        <w:jc w:val="both"/>
        <w:rPr>
          <w:rFonts w:ascii="Times New Roman" w:hAnsi="Times New Roman" w:cs="Times New Roman"/>
          <w:color w:val="577295"/>
          <w:sz w:val="24"/>
          <w:szCs w:val="24"/>
          <w:shd w:val="clear" w:color="auto" w:fill="FFFFFF"/>
        </w:rPr>
      </w:pPr>
    </w:p>
    <w:p w:rsidR="006620CC" w:rsidRPr="00F91AB7" w:rsidRDefault="00E914EC" w:rsidP="006F1AB8">
      <w:pPr>
        <w:spacing w:after="0" w:line="240" w:lineRule="auto"/>
        <w:jc w:val="both"/>
        <w:rPr>
          <w:rFonts w:ascii="Times New Roman" w:eastAsia="Times New Roman" w:hAnsi="Times New Roman" w:cs="Times New Roman"/>
          <w:sz w:val="24"/>
          <w:szCs w:val="24"/>
          <w:lang w:eastAsia="lt-LT"/>
        </w:rPr>
      </w:pPr>
      <w:r w:rsidRPr="00F91AB7">
        <w:rPr>
          <w:rFonts w:ascii="Times New Roman" w:eastAsia="Times New Roman" w:hAnsi="Times New Roman" w:cs="Times New Roman"/>
          <w:sz w:val="24"/>
          <w:szCs w:val="24"/>
          <w:lang w:eastAsia="lt-LT"/>
        </w:rPr>
        <w:t>Nepriklausomai nuo to, pažymėtina, k</w:t>
      </w:r>
      <w:r w:rsidR="001E2259">
        <w:rPr>
          <w:rFonts w:ascii="Times New Roman" w:eastAsia="Times New Roman" w:hAnsi="Times New Roman" w:cs="Times New Roman"/>
          <w:sz w:val="24"/>
          <w:szCs w:val="24"/>
          <w:lang w:eastAsia="lt-LT"/>
        </w:rPr>
        <w:t>a</w:t>
      </w:r>
      <w:r w:rsidRPr="00F91AB7">
        <w:rPr>
          <w:rFonts w:ascii="Times New Roman" w:eastAsia="Times New Roman" w:hAnsi="Times New Roman" w:cs="Times New Roman"/>
          <w:sz w:val="24"/>
          <w:szCs w:val="24"/>
          <w:lang w:eastAsia="lt-LT"/>
        </w:rPr>
        <w:t xml:space="preserve">d </w:t>
      </w:r>
      <w:r w:rsidR="00785F31" w:rsidRPr="00F91AB7">
        <w:rPr>
          <w:rFonts w:ascii="Times New Roman" w:eastAsia="Times New Roman" w:hAnsi="Times New Roman" w:cs="Times New Roman"/>
          <w:sz w:val="24"/>
          <w:szCs w:val="24"/>
          <w:lang w:eastAsia="lt-LT"/>
        </w:rPr>
        <w:t xml:space="preserve">kol kas </w:t>
      </w:r>
      <w:r w:rsidR="00EF477F" w:rsidRPr="00F91AB7">
        <w:rPr>
          <w:rFonts w:ascii="Times New Roman" w:eastAsia="Times New Roman" w:hAnsi="Times New Roman" w:cs="Times New Roman"/>
          <w:sz w:val="24"/>
          <w:szCs w:val="24"/>
          <w:lang w:eastAsia="lt-LT"/>
        </w:rPr>
        <w:t xml:space="preserve">aptartos </w:t>
      </w:r>
      <w:r w:rsidR="00620DBE" w:rsidRPr="00F91AB7">
        <w:rPr>
          <w:rFonts w:ascii="Times New Roman" w:eastAsia="Times New Roman" w:hAnsi="Times New Roman" w:cs="Times New Roman"/>
          <w:sz w:val="24"/>
          <w:szCs w:val="24"/>
          <w:lang w:eastAsia="lt-LT"/>
        </w:rPr>
        <w:t xml:space="preserve">precedentų identifikavimo </w:t>
      </w:r>
      <w:r w:rsidR="00EF477F" w:rsidRPr="00F91AB7">
        <w:rPr>
          <w:rFonts w:ascii="Times New Roman" w:eastAsia="Times New Roman" w:hAnsi="Times New Roman" w:cs="Times New Roman"/>
          <w:sz w:val="24"/>
          <w:szCs w:val="24"/>
          <w:lang w:eastAsia="lt-LT"/>
        </w:rPr>
        <w:t>tendencijos</w:t>
      </w:r>
      <w:r w:rsidR="00785F31" w:rsidRPr="00F91AB7">
        <w:rPr>
          <w:rFonts w:ascii="Times New Roman" w:eastAsia="Times New Roman" w:hAnsi="Times New Roman" w:cs="Times New Roman"/>
          <w:sz w:val="24"/>
          <w:szCs w:val="24"/>
          <w:lang w:eastAsia="lt-LT"/>
        </w:rPr>
        <w:t xml:space="preserve"> </w:t>
      </w:r>
      <w:r w:rsidR="00EF477F" w:rsidRPr="00F91AB7">
        <w:rPr>
          <w:rFonts w:ascii="Times New Roman" w:eastAsia="Times New Roman" w:hAnsi="Times New Roman" w:cs="Times New Roman"/>
          <w:sz w:val="24"/>
          <w:szCs w:val="24"/>
          <w:lang w:eastAsia="lt-LT"/>
        </w:rPr>
        <w:t xml:space="preserve">apraiškos yra gana retos, todėl </w:t>
      </w:r>
      <w:r w:rsidR="00785F31" w:rsidRPr="00F91AB7">
        <w:rPr>
          <w:rFonts w:ascii="Times New Roman" w:eastAsia="Times New Roman" w:hAnsi="Times New Roman" w:cs="Times New Roman"/>
          <w:sz w:val="24"/>
          <w:szCs w:val="24"/>
          <w:lang w:eastAsia="lt-LT"/>
        </w:rPr>
        <w:t xml:space="preserve">tikslinga aptarti ir kitą klausimą </w:t>
      </w:r>
      <w:r w:rsidR="006620CC" w:rsidRPr="00F91AB7">
        <w:rPr>
          <w:rFonts w:ascii="Times New Roman" w:eastAsia="Times New Roman" w:hAnsi="Times New Roman" w:cs="Times New Roman"/>
          <w:sz w:val="24"/>
          <w:szCs w:val="24"/>
          <w:lang w:eastAsia="lt-LT"/>
        </w:rPr>
        <w:t>–</w:t>
      </w:r>
      <w:r w:rsidR="00785F31" w:rsidRPr="00F91AB7">
        <w:rPr>
          <w:rFonts w:ascii="Times New Roman" w:eastAsia="Times New Roman" w:hAnsi="Times New Roman" w:cs="Times New Roman"/>
          <w:sz w:val="24"/>
          <w:szCs w:val="24"/>
          <w:lang w:eastAsia="lt-LT"/>
        </w:rPr>
        <w:t xml:space="preserve"> </w:t>
      </w:r>
      <w:r w:rsidR="006620CC" w:rsidRPr="00F91AB7">
        <w:rPr>
          <w:rFonts w:ascii="Times New Roman" w:eastAsia="Times New Roman" w:hAnsi="Times New Roman" w:cs="Times New Roman"/>
          <w:sz w:val="24"/>
          <w:szCs w:val="24"/>
          <w:lang w:eastAsia="lt-LT"/>
        </w:rPr>
        <w:t>ar tinkamai veikia kasacija kaip patikros institutas, siekiant nustatyti nukrypimą nuo p</w:t>
      </w:r>
      <w:r w:rsidR="0082181C" w:rsidRPr="00F91AB7">
        <w:rPr>
          <w:rFonts w:ascii="Times New Roman" w:eastAsia="Times New Roman" w:hAnsi="Times New Roman" w:cs="Times New Roman"/>
          <w:sz w:val="24"/>
          <w:szCs w:val="24"/>
          <w:lang w:eastAsia="lt-LT"/>
        </w:rPr>
        <w:t>recedentu suformuotos</w:t>
      </w:r>
      <w:r w:rsidR="000F39C1" w:rsidRPr="00F91AB7">
        <w:rPr>
          <w:rFonts w:ascii="Times New Roman" w:eastAsia="Times New Roman" w:hAnsi="Times New Roman" w:cs="Times New Roman"/>
          <w:sz w:val="24"/>
          <w:szCs w:val="24"/>
          <w:lang w:eastAsia="lt-LT"/>
        </w:rPr>
        <w:t xml:space="preserve"> teisės taikymo ir aiškinimo</w:t>
      </w:r>
      <w:r w:rsidR="0082181C" w:rsidRPr="00F91AB7">
        <w:rPr>
          <w:rFonts w:ascii="Times New Roman" w:eastAsia="Times New Roman" w:hAnsi="Times New Roman" w:cs="Times New Roman"/>
          <w:sz w:val="24"/>
          <w:szCs w:val="24"/>
          <w:lang w:eastAsia="lt-LT"/>
        </w:rPr>
        <w:t xml:space="preserve"> praktikos.</w:t>
      </w:r>
    </w:p>
    <w:p w:rsidR="00C325D4" w:rsidRPr="00F91AB7" w:rsidRDefault="00C325D4" w:rsidP="006F1AB8">
      <w:pPr>
        <w:spacing w:after="0" w:line="240" w:lineRule="auto"/>
        <w:jc w:val="both"/>
        <w:rPr>
          <w:rFonts w:ascii="Times New Roman" w:hAnsi="Times New Roman" w:cs="Times New Roman"/>
          <w:b/>
          <w:sz w:val="24"/>
          <w:szCs w:val="24"/>
        </w:rPr>
      </w:pPr>
    </w:p>
    <w:p w:rsidR="002464D4" w:rsidRPr="00F91AB7" w:rsidRDefault="005B2DF5" w:rsidP="006F1AB8">
      <w:pPr>
        <w:spacing w:after="0" w:line="240" w:lineRule="auto"/>
        <w:jc w:val="both"/>
        <w:rPr>
          <w:rFonts w:ascii="Times New Roman" w:hAnsi="Times New Roman" w:cs="Times New Roman"/>
          <w:b/>
          <w:sz w:val="24"/>
          <w:szCs w:val="24"/>
        </w:rPr>
      </w:pPr>
      <w:r w:rsidRPr="00F91AB7">
        <w:rPr>
          <w:rFonts w:ascii="Times New Roman" w:eastAsia="Times New Roman" w:hAnsi="Times New Roman" w:cs="Times New Roman"/>
          <w:b/>
          <w:sz w:val="24"/>
          <w:szCs w:val="24"/>
          <w:lang w:eastAsia="lt-LT"/>
        </w:rPr>
        <w:t>Kasacijos kaip patikros instituto efektyvumas</w:t>
      </w:r>
    </w:p>
    <w:p w:rsidR="002464D4" w:rsidRPr="00F91AB7" w:rsidRDefault="002464D4" w:rsidP="006F1AB8">
      <w:pPr>
        <w:spacing w:after="0" w:line="240" w:lineRule="auto"/>
        <w:jc w:val="both"/>
        <w:rPr>
          <w:rFonts w:ascii="Times New Roman" w:hAnsi="Times New Roman" w:cs="Times New Roman"/>
          <w:b/>
          <w:sz w:val="24"/>
          <w:szCs w:val="24"/>
        </w:rPr>
      </w:pPr>
    </w:p>
    <w:p w:rsidR="002A33A5" w:rsidRPr="00F91AB7" w:rsidRDefault="00C439E9" w:rsidP="006F1AB8">
      <w:pPr>
        <w:spacing w:after="0" w:line="240" w:lineRule="auto"/>
        <w:jc w:val="both"/>
        <w:rPr>
          <w:rFonts w:ascii="Times New Roman" w:hAnsi="Times New Roman" w:cs="Times New Roman"/>
          <w:sz w:val="24"/>
          <w:szCs w:val="24"/>
        </w:rPr>
      </w:pPr>
      <w:r w:rsidRPr="00F91AB7">
        <w:rPr>
          <w:rFonts w:ascii="Times New Roman" w:hAnsi="Times New Roman" w:cs="Times New Roman"/>
          <w:sz w:val="24"/>
          <w:szCs w:val="24"/>
        </w:rPr>
        <w:t xml:space="preserve">Kalbant apie kasaciją kaip apie patikros institutą, visų pirma, svarbu pažymėti, kad </w:t>
      </w:r>
      <w:r w:rsidR="004B303D" w:rsidRPr="00F91AB7">
        <w:rPr>
          <w:rFonts w:ascii="Times New Roman" w:hAnsi="Times New Roman" w:cs="Times New Roman"/>
          <w:sz w:val="24"/>
          <w:szCs w:val="24"/>
        </w:rPr>
        <w:t xml:space="preserve">iš esmės visa įrodinėjimo našta dėl to, kad buvo nukrypta nuo </w:t>
      </w:r>
      <w:r w:rsidRPr="00F91AB7">
        <w:rPr>
          <w:rFonts w:ascii="Times New Roman" w:hAnsi="Times New Roman" w:cs="Times New Roman"/>
          <w:sz w:val="24"/>
          <w:szCs w:val="24"/>
        </w:rPr>
        <w:t xml:space="preserve">kasacinio teismo </w:t>
      </w:r>
      <w:r w:rsidR="004B303D" w:rsidRPr="00F91AB7">
        <w:rPr>
          <w:rFonts w:ascii="Times New Roman" w:hAnsi="Times New Roman" w:cs="Times New Roman"/>
          <w:sz w:val="24"/>
          <w:szCs w:val="24"/>
        </w:rPr>
        <w:t xml:space="preserve">suformuotos teisės taikymo ir aiškinimo praktikos, tenka kasatoriui. </w:t>
      </w:r>
      <w:r w:rsidR="002A33A5" w:rsidRPr="00F91AB7">
        <w:rPr>
          <w:rFonts w:ascii="Times New Roman" w:hAnsi="Times New Roman" w:cs="Times New Roman"/>
          <w:sz w:val="24"/>
          <w:szCs w:val="24"/>
        </w:rPr>
        <w:t xml:space="preserve">Remiantis kasacinio teismo paruoštomis </w:t>
      </w:r>
      <w:r w:rsidR="004C0F22" w:rsidRPr="00F91AB7">
        <w:rPr>
          <w:rFonts w:ascii="Times New Roman" w:hAnsi="Times New Roman" w:cs="Times New Roman"/>
          <w:sz w:val="24"/>
          <w:szCs w:val="24"/>
        </w:rPr>
        <w:t xml:space="preserve">kasacinio skundo ruošimo </w:t>
      </w:r>
      <w:r w:rsidR="002A33A5" w:rsidRPr="00F91AB7">
        <w:rPr>
          <w:rFonts w:ascii="Times New Roman" w:hAnsi="Times New Roman" w:cs="Times New Roman"/>
          <w:sz w:val="24"/>
          <w:szCs w:val="24"/>
        </w:rPr>
        <w:t xml:space="preserve">rekomendacijomis, kai kasacinis skundas paduodamas tuo pagrindu, kad teismas skundžiamame sprendime (nutartyje) nukrypo nuo </w:t>
      </w:r>
      <w:r w:rsidR="00E576FC" w:rsidRPr="00F91AB7">
        <w:rPr>
          <w:rFonts w:ascii="Times New Roman" w:hAnsi="Times New Roman" w:cs="Times New Roman"/>
          <w:sz w:val="24"/>
          <w:szCs w:val="24"/>
        </w:rPr>
        <w:t>kasacinio teismo</w:t>
      </w:r>
      <w:r w:rsidR="002A33A5" w:rsidRPr="00F91AB7">
        <w:rPr>
          <w:rFonts w:ascii="Times New Roman" w:hAnsi="Times New Roman" w:cs="Times New Roman"/>
          <w:sz w:val="24"/>
          <w:szCs w:val="24"/>
        </w:rPr>
        <w:t xml:space="preserve"> suformuotos teisės taikymo ir aiškinimo praktikos (CPK 346 str. 2 d. 2 p.), kyla poreikis pateikti argumentus, patvirtinančius, kad praktika tam</w:t>
      </w:r>
      <w:r w:rsidR="00E576FC" w:rsidRPr="00F91AB7">
        <w:rPr>
          <w:rFonts w:ascii="Times New Roman" w:hAnsi="Times New Roman" w:cs="Times New Roman"/>
          <w:sz w:val="24"/>
          <w:szCs w:val="24"/>
        </w:rPr>
        <w:t xml:space="preserve"> tikru klausimu yra suformuota</w:t>
      </w:r>
      <w:r w:rsidR="002A33A5" w:rsidRPr="00F91AB7">
        <w:rPr>
          <w:rFonts w:ascii="Times New Roman" w:hAnsi="Times New Roman" w:cs="Times New Roman"/>
          <w:sz w:val="24"/>
          <w:szCs w:val="24"/>
        </w:rPr>
        <w:t xml:space="preserve">, o </w:t>
      </w:r>
      <w:r w:rsidR="00E576FC" w:rsidRPr="00F91AB7">
        <w:rPr>
          <w:rFonts w:ascii="Times New Roman" w:hAnsi="Times New Roman" w:cs="Times New Roman"/>
          <w:sz w:val="24"/>
          <w:szCs w:val="24"/>
        </w:rPr>
        <w:t xml:space="preserve">kasacinio teismo </w:t>
      </w:r>
      <w:r w:rsidR="002A33A5" w:rsidRPr="00F91AB7">
        <w:rPr>
          <w:rFonts w:ascii="Times New Roman" w:hAnsi="Times New Roman" w:cs="Times New Roman"/>
          <w:sz w:val="24"/>
          <w:szCs w:val="24"/>
        </w:rPr>
        <w:t>bylos (-ų), kuria (-iomis) remiamasi, ir bylos, kurioje paduodamas kasacinis skundas, esminės teisiškai reikšmingos aplinkybės yra a</w:t>
      </w:r>
      <w:r w:rsidR="00E576FC" w:rsidRPr="00F91AB7">
        <w:rPr>
          <w:rFonts w:ascii="Times New Roman" w:hAnsi="Times New Roman" w:cs="Times New Roman"/>
          <w:sz w:val="24"/>
          <w:szCs w:val="24"/>
        </w:rPr>
        <w:t>nalogiškos arba labai panašios</w:t>
      </w:r>
      <w:r w:rsidR="002A33A5" w:rsidRPr="00F91AB7">
        <w:rPr>
          <w:rFonts w:ascii="Times New Roman" w:hAnsi="Times New Roman" w:cs="Times New Roman"/>
          <w:sz w:val="24"/>
          <w:szCs w:val="24"/>
        </w:rPr>
        <w:t xml:space="preserve">. Tokiame kasaciniame skunde patartina labai aiškiai identifikuoti (pvz., nurodant paskelbimo datą ir numerį) vieną ar kelias (taigi, nebūtinai visas, o tik aktualiausias, svarbiausias) </w:t>
      </w:r>
      <w:r w:rsidR="00E576FC" w:rsidRPr="00F91AB7">
        <w:rPr>
          <w:rFonts w:ascii="Times New Roman" w:hAnsi="Times New Roman" w:cs="Times New Roman"/>
          <w:sz w:val="24"/>
          <w:szCs w:val="24"/>
        </w:rPr>
        <w:t>kasacinio teismo</w:t>
      </w:r>
      <w:r w:rsidR="002A33A5" w:rsidRPr="00F91AB7">
        <w:rPr>
          <w:rFonts w:ascii="Times New Roman" w:hAnsi="Times New Roman" w:cs="Times New Roman"/>
          <w:sz w:val="24"/>
          <w:szCs w:val="24"/>
        </w:rPr>
        <w:t xml:space="preserve"> nutartis ir jose suformuluotą konkrečią </w:t>
      </w:r>
      <w:r w:rsidR="00E576FC" w:rsidRPr="00F91AB7">
        <w:rPr>
          <w:rFonts w:ascii="Times New Roman" w:hAnsi="Times New Roman" w:cs="Times New Roman"/>
          <w:sz w:val="24"/>
          <w:szCs w:val="24"/>
        </w:rPr>
        <w:t>kasacinio teismo</w:t>
      </w:r>
      <w:r w:rsidR="002A33A5" w:rsidRPr="00F91AB7">
        <w:rPr>
          <w:rFonts w:ascii="Times New Roman" w:hAnsi="Times New Roman" w:cs="Times New Roman"/>
          <w:sz w:val="24"/>
          <w:szCs w:val="24"/>
        </w:rPr>
        <w:t xml:space="preserve"> teisės aiškinimo ir taikymo taisyklę, nuo kurios </w:t>
      </w:r>
      <w:r w:rsidRPr="00F91AB7">
        <w:rPr>
          <w:rFonts w:ascii="Times New Roman" w:hAnsi="Times New Roman" w:cs="Times New Roman"/>
          <w:sz w:val="24"/>
          <w:szCs w:val="24"/>
        </w:rPr>
        <w:t>nukrypo bylą nagrinėję teismai</w:t>
      </w:r>
      <w:r w:rsidR="002A33A5" w:rsidRPr="00F91AB7">
        <w:rPr>
          <w:rFonts w:ascii="Times New Roman" w:hAnsi="Times New Roman" w:cs="Times New Roman"/>
          <w:sz w:val="24"/>
          <w:szCs w:val="24"/>
        </w:rPr>
        <w:t xml:space="preserve">. </w:t>
      </w:r>
    </w:p>
    <w:p w:rsidR="002A33A5" w:rsidRPr="00F91AB7" w:rsidRDefault="002A33A5" w:rsidP="006F1AB8">
      <w:pPr>
        <w:pStyle w:val="NormalWeb"/>
        <w:spacing w:before="0" w:beforeAutospacing="0" w:after="0" w:afterAutospacing="0"/>
        <w:jc w:val="both"/>
        <w:rPr>
          <w:lang w:val="lt-LT"/>
        </w:rPr>
      </w:pPr>
    </w:p>
    <w:p w:rsidR="002464D4" w:rsidRPr="00F91AB7" w:rsidRDefault="00A047BD" w:rsidP="006F1AB8">
      <w:pPr>
        <w:pStyle w:val="NormalWeb"/>
        <w:spacing w:before="0" w:beforeAutospacing="0" w:after="0" w:afterAutospacing="0"/>
        <w:jc w:val="both"/>
        <w:rPr>
          <w:lang w:val="lt-LT"/>
        </w:rPr>
      </w:pPr>
      <w:r w:rsidRPr="00F91AB7">
        <w:rPr>
          <w:lang w:val="lt-LT"/>
        </w:rPr>
        <w:t>Lietuvos Aukščiausiasis Teismas</w:t>
      </w:r>
      <w:r w:rsidR="004C0F22" w:rsidRPr="00F91AB7">
        <w:rPr>
          <w:rStyle w:val="FootnoteReference"/>
          <w:lang w:val="lt-LT"/>
        </w:rPr>
        <w:footnoteReference w:id="13"/>
      </w:r>
      <w:r w:rsidRPr="00F91AB7">
        <w:rPr>
          <w:lang w:val="lt-LT"/>
        </w:rPr>
        <w:t xml:space="preserve"> yra</w:t>
      </w:r>
      <w:r w:rsidR="004B303D" w:rsidRPr="00F91AB7">
        <w:rPr>
          <w:lang w:val="lt-LT"/>
        </w:rPr>
        <w:t xml:space="preserve"> papildomai</w:t>
      </w:r>
      <w:r w:rsidRPr="00F91AB7">
        <w:rPr>
          <w:lang w:val="lt-LT"/>
        </w:rPr>
        <w:t xml:space="preserve"> iš</w:t>
      </w:r>
      <w:r w:rsidR="004C0F22" w:rsidRPr="00F91AB7">
        <w:rPr>
          <w:lang w:val="lt-LT"/>
        </w:rPr>
        <w:t xml:space="preserve">skyręs kelis aspektus, kurie svarbūs </w:t>
      </w:r>
      <w:r w:rsidRPr="00F91AB7">
        <w:rPr>
          <w:lang w:val="lt-LT"/>
        </w:rPr>
        <w:t>p</w:t>
      </w:r>
      <w:r w:rsidR="002464D4" w:rsidRPr="00F91AB7">
        <w:rPr>
          <w:lang w:val="lt-LT"/>
        </w:rPr>
        <w:t>rocesiniame dokumente nurodant, jog teismai nukrypo nuo suformuotos kasacinio teismo praktikos: 1) turi būti tokio paties pobūdžio bylos ir 2) nepakanka vienos kasacinio teismo nutarties. Pirmasis aspektas – tokio paties pobūdžio byla – neturi būti suprantama kaip pasisakymas dėl tos pat teisės normos ar jos nuostatos aiškinimo, vertinimo ar taikymo - tos pačios normos taikymo aplinkybės taip pat turi būti analogiškos. Antrasis aspektas – kad nepakanka vienos kasacinio teismo nutarties –</w:t>
      </w:r>
      <w:r w:rsidRPr="00F91AB7">
        <w:rPr>
          <w:lang w:val="lt-LT"/>
        </w:rPr>
        <w:t xml:space="preserve"> </w:t>
      </w:r>
      <w:r w:rsidR="002464D4" w:rsidRPr="00F91AB7">
        <w:rPr>
          <w:lang w:val="lt-LT"/>
        </w:rPr>
        <w:t>yra naudojamas Lietuvos Aukščiausiojo Teismo praktikoje</w:t>
      </w:r>
      <w:r w:rsidRPr="00F91AB7">
        <w:rPr>
          <w:rStyle w:val="FootnoteReference"/>
          <w:lang w:val="lt-LT"/>
        </w:rPr>
        <w:footnoteReference w:id="14"/>
      </w:r>
      <w:r w:rsidR="002464D4" w:rsidRPr="00F91AB7">
        <w:rPr>
          <w:lang w:val="lt-LT"/>
        </w:rPr>
        <w:t xml:space="preserve">, </w:t>
      </w:r>
      <w:r w:rsidR="00890081" w:rsidRPr="00F91AB7">
        <w:rPr>
          <w:lang w:val="lt-LT"/>
        </w:rPr>
        <w:t xml:space="preserve">kurioje pasisakoma, </w:t>
      </w:r>
      <w:r w:rsidR="002464D4" w:rsidRPr="00F91AB7">
        <w:rPr>
          <w:lang w:val="lt-LT"/>
        </w:rPr>
        <w:t>kad remiantis teismų praktika nepakanka nurodyti kaip precedentą vieną ar kelis teismų sprendimus tokio paties pobūdžio bylose, tačiau būtina analizuoti kuo daugiau praktikos analogiškose bylose pavyzdžių</w:t>
      </w:r>
      <w:r w:rsidR="00890081" w:rsidRPr="00F91AB7">
        <w:rPr>
          <w:lang w:val="lt-LT"/>
        </w:rPr>
        <w:t xml:space="preserve">. </w:t>
      </w:r>
    </w:p>
    <w:p w:rsidR="001413A7" w:rsidRPr="00F91AB7" w:rsidRDefault="001413A7" w:rsidP="006F1AB8">
      <w:pPr>
        <w:pStyle w:val="NormalWeb"/>
        <w:spacing w:before="0" w:beforeAutospacing="0" w:after="0" w:afterAutospacing="0"/>
        <w:jc w:val="both"/>
        <w:rPr>
          <w:lang w:val="lt-LT"/>
        </w:rPr>
      </w:pPr>
    </w:p>
    <w:p w:rsidR="00272E00" w:rsidRPr="00F91AB7" w:rsidRDefault="00533B51" w:rsidP="00272E00">
      <w:pPr>
        <w:pStyle w:val="NormalWeb"/>
        <w:spacing w:before="0" w:beforeAutospacing="0" w:after="0" w:afterAutospacing="0"/>
        <w:jc w:val="both"/>
        <w:rPr>
          <w:lang w:val="lt-LT"/>
        </w:rPr>
      </w:pPr>
      <w:r w:rsidRPr="00F91AB7">
        <w:rPr>
          <w:lang w:val="lt-LT"/>
        </w:rPr>
        <w:t>Kasacinio teismo praktikoje</w:t>
      </w:r>
      <w:r w:rsidR="002F1959" w:rsidRPr="00F91AB7">
        <w:rPr>
          <w:rStyle w:val="FootnoteReference"/>
          <w:lang w:val="lt-LT"/>
        </w:rPr>
        <w:footnoteReference w:id="15"/>
      </w:r>
      <w:r w:rsidRPr="00F91AB7">
        <w:rPr>
          <w:lang w:val="lt-LT"/>
        </w:rPr>
        <w:t xml:space="preserve"> laikomasi </w:t>
      </w:r>
      <w:r w:rsidR="004B303D" w:rsidRPr="00F91AB7">
        <w:rPr>
          <w:lang w:val="lt-LT"/>
        </w:rPr>
        <w:t>pozicijos, kad nukrypimas nuo k</w:t>
      </w:r>
      <w:r w:rsidRPr="00F91AB7">
        <w:rPr>
          <w:lang w:val="lt-LT"/>
        </w:rPr>
        <w:t>asacinio teismo suformuotos teisės taikymo ir aiškinimo praktikos</w:t>
      </w:r>
      <w:r w:rsidR="004B303D" w:rsidRPr="00F91AB7">
        <w:rPr>
          <w:lang w:val="lt-LT"/>
        </w:rPr>
        <w:t xml:space="preserve"> yra grindžiamas </w:t>
      </w:r>
      <w:r w:rsidRPr="00F91AB7">
        <w:rPr>
          <w:lang w:val="lt-LT"/>
        </w:rPr>
        <w:t xml:space="preserve">analizuojant apskųstuose teismų sprendimuose išdėstytus teisinius motyvus ir juos lyginant su </w:t>
      </w:r>
      <w:r w:rsidR="002F1959" w:rsidRPr="00F91AB7">
        <w:rPr>
          <w:lang w:val="lt-LT"/>
        </w:rPr>
        <w:t>kasacinio teismo</w:t>
      </w:r>
      <w:r w:rsidRPr="00F91AB7">
        <w:rPr>
          <w:lang w:val="lt-LT"/>
        </w:rPr>
        <w:t xml:space="preserve"> suformuota teisės taikymo ir aiškinimo praktika. </w:t>
      </w:r>
      <w:r w:rsidR="004B303D" w:rsidRPr="00F91AB7">
        <w:rPr>
          <w:lang w:val="lt-LT"/>
        </w:rPr>
        <w:t>Pažymėtina, kad k</w:t>
      </w:r>
      <w:r w:rsidRPr="00F91AB7">
        <w:rPr>
          <w:lang w:val="lt-LT"/>
        </w:rPr>
        <w:t>asacinio nagrinėjimo dalykas yra kasatoriaus kasaciniame skunde nurodyti motyvuoti kasacijos pagrindai. Kai kasatorius kasaciniame skunde nurodo kasacijos pagrindą, tačiau nepateikia jį patvirtinančių teisinių argumentų, arba pateikia atitinkamus argumentus, tačiau jų nesieja su konkrečiu kasacijos pagrindu, kasacinis skundas laikytinas netinkamai motyvuotu ir neatitinkančiu CPK 347 straipsnio 1 dalies 3 punkto reikalavimų. Kasacinio teismo teisėjų atrankos kolegijos padarytas kasacinio skundo apibendrintas vertinimas (kaip atitinkančio įstatymo reikalavimus) ne visada praktikoje reiškia, kad kiekvienas skundo argumentas ar jų grupė atitinka įstatymo nustatytus reikalavimus. Detalų skundo argumentų vertinimą atlieka bylą kasacine tvark</w:t>
      </w:r>
      <w:r w:rsidR="002F1959" w:rsidRPr="00F91AB7">
        <w:rPr>
          <w:lang w:val="lt-LT"/>
        </w:rPr>
        <w:t>a nagrinėjanti teisėjų kolegija.</w:t>
      </w:r>
      <w:r w:rsidR="00F83565" w:rsidRPr="00F91AB7">
        <w:rPr>
          <w:lang w:val="lt-LT"/>
        </w:rPr>
        <w:t xml:space="preserve"> Taigi, je</w:t>
      </w:r>
      <w:r w:rsidR="006B7B84" w:rsidRPr="00F91AB7">
        <w:rPr>
          <w:lang w:val="lt-LT"/>
        </w:rPr>
        <w:t>i kasatorius netinkamai įvykdo jam tenkančią pareigą</w:t>
      </w:r>
      <w:r w:rsidR="00075019" w:rsidRPr="00F91AB7">
        <w:rPr>
          <w:lang w:val="lt-LT"/>
        </w:rPr>
        <w:t xml:space="preserve"> įrodyti nukrypimą nuo suformuotos teisės taikymo ir aiškinimo </w:t>
      </w:r>
      <w:r w:rsidR="00075019" w:rsidRPr="00F91AB7">
        <w:rPr>
          <w:lang w:val="lt-LT"/>
        </w:rPr>
        <w:lastRenderedPageBreak/>
        <w:t>praktikos</w:t>
      </w:r>
      <w:r w:rsidR="006B7B84" w:rsidRPr="00F91AB7">
        <w:rPr>
          <w:lang w:val="lt-LT"/>
        </w:rPr>
        <w:t>, tuomet kasacinis teismas atitinkamos kasacinio skundo dalies iš</w:t>
      </w:r>
      <w:r w:rsidR="00075019" w:rsidRPr="00F91AB7">
        <w:rPr>
          <w:lang w:val="lt-LT"/>
        </w:rPr>
        <w:t>vis n</w:t>
      </w:r>
      <w:r w:rsidR="006B7B84" w:rsidRPr="00F91AB7">
        <w:rPr>
          <w:lang w:val="lt-LT"/>
        </w:rPr>
        <w:t xml:space="preserve">evertina. Pavyzdžių, kuomet kasaciniame skunde netinkamai </w:t>
      </w:r>
      <w:r w:rsidR="00075019" w:rsidRPr="00F91AB7">
        <w:rPr>
          <w:lang w:val="lt-LT"/>
        </w:rPr>
        <w:t>pagrindžiamas nukrypimas nuo suformuotos teisės taikymo ir aiškinimo praktikos</w:t>
      </w:r>
      <w:r w:rsidR="006B7B84" w:rsidRPr="00F91AB7">
        <w:rPr>
          <w:lang w:val="lt-LT"/>
        </w:rPr>
        <w:t xml:space="preserve">, yra </w:t>
      </w:r>
      <w:r w:rsidR="00075019" w:rsidRPr="00F91AB7">
        <w:rPr>
          <w:lang w:val="lt-LT"/>
        </w:rPr>
        <w:t>išties daug</w:t>
      </w:r>
      <w:r w:rsidR="006B7B84" w:rsidRPr="00F91AB7">
        <w:rPr>
          <w:lang w:val="lt-LT"/>
        </w:rPr>
        <w:t xml:space="preserve">.  </w:t>
      </w:r>
      <w:r w:rsidR="00F83565" w:rsidRPr="00F91AB7">
        <w:rPr>
          <w:lang w:val="lt-LT"/>
        </w:rPr>
        <w:t>Štai</w:t>
      </w:r>
      <w:r w:rsidR="006B7B84" w:rsidRPr="00F91AB7">
        <w:rPr>
          <w:lang w:val="lt-LT"/>
        </w:rPr>
        <w:t xml:space="preserve"> </w:t>
      </w:r>
      <w:r w:rsidR="00F3016E" w:rsidRPr="00F91AB7">
        <w:rPr>
          <w:lang w:val="lt-LT"/>
        </w:rPr>
        <w:t>vienoje byloje</w:t>
      </w:r>
      <w:r w:rsidR="00CA7D7D" w:rsidRPr="00F91AB7">
        <w:rPr>
          <w:rStyle w:val="FootnoteReference"/>
          <w:lang w:val="lt-LT"/>
        </w:rPr>
        <w:footnoteReference w:id="16"/>
      </w:r>
      <w:r w:rsidR="00F3016E" w:rsidRPr="00F91AB7">
        <w:rPr>
          <w:lang w:val="lt-LT"/>
        </w:rPr>
        <w:t xml:space="preserve"> kasa</w:t>
      </w:r>
      <w:r w:rsidRPr="00F91AB7">
        <w:rPr>
          <w:lang w:val="lt-LT"/>
        </w:rPr>
        <w:t>torius te</w:t>
      </w:r>
      <w:r w:rsidR="00075019" w:rsidRPr="00F91AB7">
        <w:rPr>
          <w:lang w:val="lt-LT"/>
        </w:rPr>
        <w:t>igė</w:t>
      </w:r>
      <w:r w:rsidRPr="00F91AB7">
        <w:rPr>
          <w:lang w:val="lt-LT"/>
        </w:rPr>
        <w:t>, kad apeliacinės instancijos teismas nukrypo nuo Lietuvos Aukščiausiojo Teismo formuojamos praktikos dėl to, kas laikytina šiurkščiu darbo drausmės pažeidimu</w:t>
      </w:r>
      <w:r w:rsidR="00F3016E" w:rsidRPr="00F91AB7">
        <w:rPr>
          <w:lang w:val="lt-LT"/>
        </w:rPr>
        <w:t>, tačiau atitinkamoje k</w:t>
      </w:r>
      <w:r w:rsidRPr="00F91AB7">
        <w:rPr>
          <w:lang w:val="lt-LT"/>
        </w:rPr>
        <w:t>asacinio skundo dalyje kasatorius paminėjo vieni</w:t>
      </w:r>
      <w:r w:rsidR="00F3016E" w:rsidRPr="00F91AB7">
        <w:rPr>
          <w:lang w:val="lt-LT"/>
        </w:rPr>
        <w:t xml:space="preserve">ntelę kasacinio teismo nutartį ir </w:t>
      </w:r>
      <w:r w:rsidRPr="00F91AB7">
        <w:rPr>
          <w:lang w:val="lt-LT"/>
        </w:rPr>
        <w:t>nenurodė nė vieno argumento dėl konkretaus nukrypimo nuo šioje nutartyje suformuotos teisės taikymo ir aiškinimo praktikos</w:t>
      </w:r>
      <w:r w:rsidR="00F3016E" w:rsidRPr="00F91AB7">
        <w:rPr>
          <w:lang w:val="lt-LT"/>
        </w:rPr>
        <w:t>, t.y. kasaciniame skunde k</w:t>
      </w:r>
      <w:r w:rsidRPr="00F91AB7">
        <w:rPr>
          <w:lang w:val="lt-LT"/>
        </w:rPr>
        <w:t>asatorius k</w:t>
      </w:r>
      <w:r w:rsidR="00075019" w:rsidRPr="00F91AB7">
        <w:rPr>
          <w:lang w:val="lt-LT"/>
        </w:rPr>
        <w:t>ėlė</w:t>
      </w:r>
      <w:r w:rsidRPr="00F91AB7">
        <w:rPr>
          <w:lang w:val="lt-LT"/>
        </w:rPr>
        <w:t xml:space="preserve"> </w:t>
      </w:r>
      <w:r w:rsidR="00F3016E" w:rsidRPr="00F91AB7">
        <w:rPr>
          <w:lang w:val="lt-LT"/>
        </w:rPr>
        <w:t xml:space="preserve">tik </w:t>
      </w:r>
      <w:r w:rsidRPr="00F91AB7">
        <w:rPr>
          <w:lang w:val="lt-LT"/>
        </w:rPr>
        <w:t>retorinio pobūdžio klausimus.</w:t>
      </w:r>
      <w:r w:rsidR="00F3016E" w:rsidRPr="00F91AB7">
        <w:rPr>
          <w:lang w:val="lt-LT"/>
        </w:rPr>
        <w:t xml:space="preserve"> Taigi kasacinis teismas </w:t>
      </w:r>
      <w:r w:rsidR="00075019" w:rsidRPr="00F91AB7">
        <w:rPr>
          <w:lang w:val="lt-LT"/>
        </w:rPr>
        <w:t xml:space="preserve">turėjo </w:t>
      </w:r>
      <w:r w:rsidRPr="00F91AB7">
        <w:rPr>
          <w:lang w:val="lt-LT"/>
        </w:rPr>
        <w:t>pagrindą pripažinti, kad šioje byloje kasatoriaus paduotame kasaciniame skunde iš dalies neatsižvelgta į kasacinio skundo specifiką, reikalavimą nurodyti konkrečius kasacijos pagrindus bei juos patvirtinančius teisinius argumentus</w:t>
      </w:r>
      <w:r w:rsidR="00075019" w:rsidRPr="00F91AB7">
        <w:rPr>
          <w:lang w:val="lt-LT"/>
        </w:rPr>
        <w:t xml:space="preserve"> – dėl to d</w:t>
      </w:r>
      <w:r w:rsidRPr="00F91AB7">
        <w:rPr>
          <w:lang w:val="lt-LT"/>
        </w:rPr>
        <w:t xml:space="preserve">alis kasacinio skundo teiginių </w:t>
      </w:r>
      <w:r w:rsidR="00075019" w:rsidRPr="00F91AB7">
        <w:rPr>
          <w:lang w:val="lt-LT"/>
        </w:rPr>
        <w:t xml:space="preserve">(dėl nukrypimo nuo kasacinio teismo praktikos) </w:t>
      </w:r>
      <w:r w:rsidRPr="00F91AB7">
        <w:rPr>
          <w:lang w:val="lt-LT"/>
        </w:rPr>
        <w:t>n</w:t>
      </w:r>
      <w:r w:rsidR="00075019" w:rsidRPr="00F91AB7">
        <w:rPr>
          <w:lang w:val="lt-LT"/>
        </w:rPr>
        <w:t>ebuvo</w:t>
      </w:r>
      <w:r w:rsidRPr="00F91AB7">
        <w:rPr>
          <w:lang w:val="lt-LT"/>
        </w:rPr>
        <w:t xml:space="preserve"> kasacinio nagrinėjimo dalykas, nes</w:t>
      </w:r>
      <w:r w:rsidR="00BC7EC3" w:rsidRPr="00F91AB7">
        <w:rPr>
          <w:lang w:val="lt-LT"/>
        </w:rPr>
        <w:t xml:space="preserve"> šie teiginiai</w:t>
      </w:r>
      <w:r w:rsidRPr="00F91AB7">
        <w:rPr>
          <w:lang w:val="lt-LT"/>
        </w:rPr>
        <w:t xml:space="preserve"> neatiti</w:t>
      </w:r>
      <w:r w:rsidR="00075019" w:rsidRPr="00F91AB7">
        <w:rPr>
          <w:lang w:val="lt-LT"/>
        </w:rPr>
        <w:t>ko</w:t>
      </w:r>
      <w:r w:rsidRPr="00F91AB7">
        <w:rPr>
          <w:lang w:val="lt-LT"/>
        </w:rPr>
        <w:t xml:space="preserve"> CPK nustatytų reikalavimų dėl motyvuotų kasacijos pagrindų nurodymo. </w:t>
      </w:r>
    </w:p>
    <w:p w:rsidR="00F83565" w:rsidRPr="00F91AB7" w:rsidRDefault="00F83565" w:rsidP="00075019">
      <w:pPr>
        <w:pStyle w:val="NormalWeb"/>
        <w:spacing w:before="0" w:beforeAutospacing="0" w:after="0" w:afterAutospacing="0"/>
        <w:jc w:val="both"/>
        <w:rPr>
          <w:lang w:val="lt-LT"/>
        </w:rPr>
      </w:pPr>
    </w:p>
    <w:p w:rsidR="00ED3BC1" w:rsidRPr="00F91AB7" w:rsidRDefault="00582D8C" w:rsidP="00ED3BC1">
      <w:pPr>
        <w:pStyle w:val="NormalWeb"/>
        <w:spacing w:before="0" w:beforeAutospacing="0" w:after="0" w:afterAutospacing="0"/>
        <w:jc w:val="both"/>
        <w:rPr>
          <w:lang w:val="lt-LT"/>
        </w:rPr>
      </w:pPr>
      <w:r w:rsidRPr="00F91AB7">
        <w:rPr>
          <w:lang w:val="lt-LT"/>
        </w:rPr>
        <w:t>Pastebėtina, kad k</w:t>
      </w:r>
      <w:r w:rsidR="00533B51" w:rsidRPr="00F91AB7">
        <w:rPr>
          <w:lang w:val="lt-LT"/>
        </w:rPr>
        <w:t>asacinis teismas ganai dažnai konstatuoja, kad kasaciniame skunde iš dalies neatsižvelgta į kasacinio skundo specifiką, reikalavimą nurodyti konkrečius kasacijos pagrindus bei juos patvirtinančius teisinius argumentus ir dalies kasaciniame skunde pateiktų argumentų nevertina</w:t>
      </w:r>
      <w:r w:rsidR="00272E04" w:rsidRPr="00F91AB7">
        <w:rPr>
          <w:rStyle w:val="FootnoteReference"/>
          <w:lang w:val="lt-LT"/>
        </w:rPr>
        <w:footnoteReference w:id="17"/>
      </w:r>
      <w:r w:rsidRPr="00F91AB7">
        <w:rPr>
          <w:bCs/>
          <w:lang w:val="lt-LT"/>
        </w:rPr>
        <w:t>.</w:t>
      </w:r>
      <w:r w:rsidR="00533B51" w:rsidRPr="00F91AB7">
        <w:rPr>
          <w:lang w:val="lt-LT"/>
        </w:rPr>
        <w:t xml:space="preserve"> </w:t>
      </w:r>
      <w:r w:rsidR="004F7B55" w:rsidRPr="00F91AB7">
        <w:rPr>
          <w:lang w:val="lt-LT"/>
        </w:rPr>
        <w:t>Dėl šios priežasties kasacija kaip patikros, ar buvo nukrypta nuo suformuotos teisės taikymo ir aiškinimo praktikos, institutas nėra toks efektyvus, koks galėtų būti. Atsižvelgiant į tai, m</w:t>
      </w:r>
      <w:r w:rsidR="004A4D32" w:rsidRPr="00F91AB7">
        <w:rPr>
          <w:lang w:val="lt-LT"/>
        </w:rPr>
        <w:t xml:space="preserve">anytina, kad konkrečių </w:t>
      </w:r>
      <w:r w:rsidR="004F7B55" w:rsidRPr="00F91AB7">
        <w:rPr>
          <w:lang w:val="lt-LT"/>
        </w:rPr>
        <w:t xml:space="preserve">kasacinio teismo </w:t>
      </w:r>
      <w:r w:rsidR="004A4D32" w:rsidRPr="00F91AB7">
        <w:rPr>
          <w:lang w:val="lt-LT"/>
        </w:rPr>
        <w:t xml:space="preserve">išaiškinimų pripažinimas atitinkančiais konstitucinės teismo precedento doktrinos kriterijus padidintų ir pačios kasacijos kaip patikros instituto efektyvumą, kadangi kasatoriams būtų lengviau įvykdyti jiems pavestą pareigą - įrodyti nukrypimą nuo kasacinio teismo </w:t>
      </w:r>
      <w:r w:rsidR="004F7B55" w:rsidRPr="00F91AB7">
        <w:rPr>
          <w:lang w:val="lt-LT"/>
        </w:rPr>
        <w:t xml:space="preserve">suformuotos </w:t>
      </w:r>
      <w:r w:rsidR="004A4D32" w:rsidRPr="00F91AB7">
        <w:rPr>
          <w:lang w:val="lt-LT"/>
        </w:rPr>
        <w:t xml:space="preserve">teisės taikymo ir aiškinimo praktikos. </w:t>
      </w:r>
    </w:p>
    <w:p w:rsidR="009E4687" w:rsidRPr="00F91AB7" w:rsidRDefault="009E4687" w:rsidP="00ED3BC1">
      <w:pPr>
        <w:pStyle w:val="NormalWeb"/>
        <w:spacing w:before="0" w:beforeAutospacing="0" w:after="0" w:afterAutospacing="0"/>
        <w:jc w:val="both"/>
        <w:rPr>
          <w:lang w:val="lt-LT"/>
        </w:rPr>
      </w:pPr>
    </w:p>
    <w:p w:rsidR="00D44D64" w:rsidRPr="00F91AB7" w:rsidRDefault="00BA3CA2" w:rsidP="006F1AB8">
      <w:pPr>
        <w:spacing w:after="0" w:line="240" w:lineRule="auto"/>
        <w:jc w:val="both"/>
        <w:rPr>
          <w:rFonts w:ascii="Times New Roman" w:hAnsi="Times New Roman" w:cs="Times New Roman"/>
          <w:b/>
          <w:sz w:val="24"/>
          <w:szCs w:val="24"/>
        </w:rPr>
      </w:pPr>
      <w:r w:rsidRPr="00F91AB7">
        <w:rPr>
          <w:rFonts w:ascii="Times New Roman" w:hAnsi="Times New Roman" w:cs="Times New Roman"/>
          <w:b/>
          <w:sz w:val="24"/>
          <w:szCs w:val="24"/>
        </w:rPr>
        <w:t>Tarėjų instituto</w:t>
      </w:r>
      <w:r w:rsidR="00D44D64" w:rsidRPr="00F91AB7">
        <w:rPr>
          <w:rFonts w:ascii="Times New Roman" w:hAnsi="Times New Roman" w:cs="Times New Roman"/>
          <w:b/>
          <w:sz w:val="24"/>
          <w:szCs w:val="24"/>
        </w:rPr>
        <w:t xml:space="preserve"> ir teismo v</w:t>
      </w:r>
      <w:r w:rsidRPr="00F91AB7">
        <w:rPr>
          <w:rFonts w:ascii="Times New Roman" w:hAnsi="Times New Roman" w:cs="Times New Roman"/>
          <w:b/>
          <w:sz w:val="24"/>
          <w:szCs w:val="24"/>
        </w:rPr>
        <w:t>ykdomos „teisėkūros</w:t>
      </w:r>
      <w:r w:rsidR="00D44D64" w:rsidRPr="00F91AB7">
        <w:rPr>
          <w:rFonts w:ascii="Times New Roman" w:hAnsi="Times New Roman" w:cs="Times New Roman"/>
          <w:b/>
          <w:sz w:val="24"/>
          <w:szCs w:val="24"/>
        </w:rPr>
        <w:t>“</w:t>
      </w:r>
      <w:r w:rsidRPr="00F91AB7">
        <w:rPr>
          <w:rFonts w:ascii="Times New Roman" w:hAnsi="Times New Roman" w:cs="Times New Roman"/>
          <w:b/>
          <w:sz w:val="24"/>
          <w:szCs w:val="24"/>
        </w:rPr>
        <w:t xml:space="preserve"> suderinamumas</w:t>
      </w:r>
    </w:p>
    <w:p w:rsidR="00D44D64" w:rsidRPr="00F91AB7" w:rsidRDefault="00D44D64" w:rsidP="006F1AB8">
      <w:pPr>
        <w:spacing w:after="0" w:line="240" w:lineRule="auto"/>
        <w:jc w:val="both"/>
        <w:rPr>
          <w:rFonts w:ascii="Times New Roman" w:hAnsi="Times New Roman" w:cs="Times New Roman"/>
          <w:b/>
          <w:sz w:val="24"/>
          <w:szCs w:val="24"/>
        </w:rPr>
      </w:pPr>
    </w:p>
    <w:p w:rsidR="0011602B" w:rsidRPr="00F91AB7" w:rsidRDefault="009E4687" w:rsidP="006F1AB8">
      <w:pPr>
        <w:pStyle w:val="NormalWeb"/>
        <w:pBdr>
          <w:left w:val="single" w:sz="18" w:space="8" w:color="FFFFFF"/>
        </w:pBdr>
        <w:shd w:val="clear" w:color="auto" w:fill="FFFFFF"/>
        <w:spacing w:before="0" w:beforeAutospacing="0" w:after="0" w:afterAutospacing="0"/>
        <w:jc w:val="both"/>
        <w:rPr>
          <w:lang w:val="lt-LT" w:eastAsia="lt-LT"/>
        </w:rPr>
      </w:pPr>
      <w:r w:rsidRPr="00F91AB7">
        <w:rPr>
          <w:bCs/>
          <w:shd w:val="clear" w:color="auto" w:fill="FFFFFF"/>
          <w:lang w:val="lt-LT"/>
        </w:rPr>
        <w:t xml:space="preserve">Aptarus </w:t>
      </w:r>
      <w:r w:rsidR="004E1B0C" w:rsidRPr="00F91AB7">
        <w:rPr>
          <w:bCs/>
          <w:shd w:val="clear" w:color="auto" w:fill="FFFFFF"/>
          <w:lang w:val="lt-LT"/>
        </w:rPr>
        <w:t xml:space="preserve">pasirinktus </w:t>
      </w:r>
      <w:r w:rsidR="00C11C04" w:rsidRPr="00F91AB7">
        <w:rPr>
          <w:bCs/>
          <w:shd w:val="clear" w:color="auto" w:fill="FFFFFF"/>
          <w:lang w:val="lt-LT"/>
        </w:rPr>
        <w:t xml:space="preserve">aktualius </w:t>
      </w:r>
      <w:r w:rsidR="004E1B0C" w:rsidRPr="00F91AB7">
        <w:rPr>
          <w:bCs/>
          <w:shd w:val="clear" w:color="auto" w:fill="FFFFFF"/>
          <w:lang w:val="lt-LT"/>
        </w:rPr>
        <w:t xml:space="preserve">precedento doktrinos taikymo praktikoje </w:t>
      </w:r>
      <w:r w:rsidRPr="00F91AB7">
        <w:rPr>
          <w:bCs/>
          <w:shd w:val="clear" w:color="auto" w:fill="FFFFFF"/>
          <w:lang w:val="lt-LT"/>
        </w:rPr>
        <w:t xml:space="preserve">niuansus, įdomu panagrinėti, kaip </w:t>
      </w:r>
      <w:r w:rsidRPr="00F91AB7">
        <w:rPr>
          <w:lang w:val="lt-LT" w:eastAsia="lt-LT"/>
        </w:rPr>
        <w:t xml:space="preserve">precedento doktriną įtakos </w:t>
      </w:r>
      <w:r w:rsidR="00F459F0" w:rsidRPr="00F91AB7">
        <w:rPr>
          <w:bCs/>
          <w:shd w:val="clear" w:color="auto" w:fill="FFFFFF"/>
          <w:lang w:val="lt-LT"/>
        </w:rPr>
        <w:t>Lietuvos teismuose</w:t>
      </w:r>
      <w:r w:rsidRPr="00F91AB7">
        <w:rPr>
          <w:lang w:val="lt-LT" w:eastAsia="lt-LT"/>
        </w:rPr>
        <w:t xml:space="preserve"> siekiamas įvesti visuomenės tarėjų  institutas</w:t>
      </w:r>
      <w:r w:rsidR="006E5245">
        <w:rPr>
          <w:lang w:val="lt-LT" w:eastAsia="lt-LT"/>
        </w:rPr>
        <w:t xml:space="preserve"> ir ar apskritai šis institutas yra suderinamas su teisinio saugumo principu</w:t>
      </w:r>
      <w:r w:rsidRPr="00F91AB7">
        <w:rPr>
          <w:lang w:val="lt-LT" w:eastAsia="lt-LT"/>
        </w:rPr>
        <w:t xml:space="preserve">. </w:t>
      </w:r>
      <w:r w:rsidR="00276E1C" w:rsidRPr="00F91AB7">
        <w:rPr>
          <w:lang w:val="lt-LT" w:eastAsia="lt-LT"/>
        </w:rPr>
        <w:t xml:space="preserve">Juk visuomenės tarėjams nėra keliamas teisinio išsilavinimo reikalavimas, tad </w:t>
      </w:r>
      <w:r w:rsidR="00497F5A" w:rsidRPr="00F91AB7">
        <w:rPr>
          <w:lang w:val="lt-LT" w:eastAsia="lt-LT"/>
        </w:rPr>
        <w:t xml:space="preserve">gali susidaryti nuomonė, kad, įteisinus visuomenės tarėjų institutą, </w:t>
      </w:r>
      <w:r w:rsidR="00497F5A" w:rsidRPr="00F91AB7">
        <w:rPr>
          <w:color w:val="000000"/>
          <w:shd w:val="clear" w:color="auto" w:fill="FFFFFF"/>
          <w:lang w:val="lt-LT"/>
        </w:rPr>
        <w:t xml:space="preserve">bus sudaromos prielaidos nesuderinamumui ir nenuoseklumui </w:t>
      </w:r>
      <w:r w:rsidR="00C11C04" w:rsidRPr="00F91AB7">
        <w:rPr>
          <w:color w:val="000000"/>
          <w:shd w:val="clear" w:color="auto" w:fill="FFFFFF"/>
          <w:lang w:val="lt-LT"/>
        </w:rPr>
        <w:t>teismų praktikoje bei</w:t>
      </w:r>
      <w:r w:rsidR="00497F5A" w:rsidRPr="00F91AB7">
        <w:rPr>
          <w:color w:val="000000"/>
          <w:shd w:val="clear" w:color="auto" w:fill="FFFFFF"/>
          <w:lang w:val="lt-LT"/>
        </w:rPr>
        <w:t xml:space="preserve"> teisės sistemoje atsirasti ir teismų jurisprudencija taps mažiau prognozuojama. </w:t>
      </w:r>
      <w:r w:rsidR="000841C2" w:rsidRPr="00F91AB7">
        <w:rPr>
          <w:color w:val="000000"/>
          <w:shd w:val="clear" w:color="auto" w:fill="FFFFFF"/>
          <w:lang w:val="lt-LT"/>
        </w:rPr>
        <w:t>T</w:t>
      </w:r>
      <w:r w:rsidR="00F459F0" w:rsidRPr="00F91AB7">
        <w:rPr>
          <w:color w:val="000000"/>
          <w:shd w:val="clear" w:color="auto" w:fill="FFFFFF"/>
          <w:lang w:val="lt-LT"/>
        </w:rPr>
        <w:t xml:space="preserve">okiu būdu </w:t>
      </w:r>
      <w:r w:rsidR="00497F5A" w:rsidRPr="00F91AB7">
        <w:rPr>
          <w:color w:val="000000"/>
          <w:shd w:val="clear" w:color="auto" w:fill="FFFFFF"/>
          <w:lang w:val="lt-LT"/>
        </w:rPr>
        <w:t xml:space="preserve">duodama pagrindo kilti abejonėms, </w:t>
      </w:r>
      <w:r w:rsidR="00F459F0" w:rsidRPr="00F91AB7">
        <w:rPr>
          <w:lang w:val="lt-LT" w:eastAsia="lt-LT"/>
        </w:rPr>
        <w:t xml:space="preserve">kad </w:t>
      </w:r>
      <w:r w:rsidR="00276E1C" w:rsidRPr="00F91AB7">
        <w:rPr>
          <w:lang w:val="lt-LT" w:eastAsia="lt-LT"/>
        </w:rPr>
        <w:t xml:space="preserve">tarėjų institutas </w:t>
      </w:r>
      <w:r w:rsidR="0011602B" w:rsidRPr="00F91AB7">
        <w:rPr>
          <w:lang w:val="lt-LT" w:eastAsia="lt-LT"/>
        </w:rPr>
        <w:t xml:space="preserve">paneigia </w:t>
      </w:r>
      <w:r w:rsidR="00F459F0" w:rsidRPr="00F91AB7">
        <w:rPr>
          <w:color w:val="000000"/>
          <w:shd w:val="clear" w:color="auto" w:fill="FFFFFF"/>
          <w:lang w:val="lt-LT"/>
        </w:rPr>
        <w:t>sprendimų prognozuojamumą</w:t>
      </w:r>
      <w:r w:rsidR="0011602B" w:rsidRPr="00F91AB7">
        <w:rPr>
          <w:color w:val="000000"/>
          <w:shd w:val="clear" w:color="auto" w:fill="FFFFFF"/>
          <w:lang w:val="lt-LT"/>
        </w:rPr>
        <w:t xml:space="preserve"> ir</w:t>
      </w:r>
      <w:r w:rsidR="00F459F0" w:rsidRPr="00F91AB7">
        <w:rPr>
          <w:color w:val="000000"/>
          <w:shd w:val="clear" w:color="auto" w:fill="FFFFFF"/>
          <w:lang w:val="lt-LT"/>
        </w:rPr>
        <w:t xml:space="preserve"> įvairių teisės subjektų teisėtus lūkesčius</w:t>
      </w:r>
      <w:r w:rsidR="0011602B" w:rsidRPr="00F91AB7">
        <w:rPr>
          <w:color w:val="000000"/>
          <w:shd w:val="clear" w:color="auto" w:fill="FFFFFF"/>
          <w:lang w:val="lt-LT"/>
        </w:rPr>
        <w:t>, kurie tokiais prognozuojamais sprendimais yra sukuriami</w:t>
      </w:r>
      <w:r w:rsidR="006E5245">
        <w:rPr>
          <w:color w:val="000000"/>
          <w:shd w:val="clear" w:color="auto" w:fill="FFFFFF"/>
          <w:lang w:val="lt-LT"/>
        </w:rPr>
        <w:t>, o kartu ir patį teisinio saugumo principą</w:t>
      </w:r>
      <w:r w:rsidR="0011602B" w:rsidRPr="00F91AB7">
        <w:rPr>
          <w:color w:val="000000"/>
          <w:shd w:val="clear" w:color="auto" w:fill="FFFFFF"/>
          <w:lang w:val="lt-LT"/>
        </w:rPr>
        <w:t>.</w:t>
      </w:r>
    </w:p>
    <w:p w:rsidR="006F1AE9" w:rsidRPr="00F91AB7" w:rsidRDefault="006F1AE9" w:rsidP="006F1AB8">
      <w:pPr>
        <w:pStyle w:val="NormalWeb"/>
        <w:pBdr>
          <w:left w:val="single" w:sz="18" w:space="8" w:color="FFFFFF"/>
        </w:pBdr>
        <w:shd w:val="clear" w:color="auto" w:fill="FFFFFF"/>
        <w:spacing w:before="0" w:beforeAutospacing="0" w:after="0" w:afterAutospacing="0"/>
        <w:jc w:val="both"/>
        <w:rPr>
          <w:bCs/>
          <w:shd w:val="clear" w:color="auto" w:fill="FFFFFF"/>
          <w:lang w:val="lt-LT"/>
        </w:rPr>
      </w:pPr>
    </w:p>
    <w:p w:rsidR="00C11C04" w:rsidRPr="00F91AB7" w:rsidRDefault="00F459F0" w:rsidP="00F969C3">
      <w:pPr>
        <w:pStyle w:val="NormalWeb"/>
        <w:pBdr>
          <w:left w:val="single" w:sz="18" w:space="8" w:color="FFFFFF"/>
        </w:pBdr>
        <w:shd w:val="clear" w:color="auto" w:fill="FFFFFF"/>
        <w:spacing w:before="0" w:beforeAutospacing="0" w:after="0" w:afterAutospacing="0"/>
        <w:jc w:val="both"/>
        <w:rPr>
          <w:shd w:val="clear" w:color="auto" w:fill="FFFFFF"/>
          <w:lang w:val="lt-LT"/>
        </w:rPr>
      </w:pPr>
      <w:r w:rsidRPr="00F91AB7">
        <w:rPr>
          <w:shd w:val="clear" w:color="auto" w:fill="FFFFFF"/>
          <w:lang w:val="lt-LT"/>
        </w:rPr>
        <w:t xml:space="preserve">Šiuo tikslu, visų pirma, norėčiau pažymėti, kad jau pačioje </w:t>
      </w:r>
      <w:r w:rsidRPr="00F91AB7">
        <w:rPr>
          <w:bCs/>
          <w:shd w:val="clear" w:color="auto" w:fill="FFFFFF"/>
          <w:lang w:val="lt-LT"/>
        </w:rPr>
        <w:t>visuomeninių teisėjų (tarėjų) instituto teismuose koncepcijoje</w:t>
      </w:r>
      <w:r w:rsidRPr="00F91AB7">
        <w:rPr>
          <w:rStyle w:val="FootnoteReference"/>
          <w:bCs/>
          <w:shd w:val="clear" w:color="auto" w:fill="FFFFFF"/>
          <w:lang w:val="lt-LT"/>
        </w:rPr>
        <w:footnoteReference w:id="18"/>
      </w:r>
      <w:r w:rsidRPr="00F91AB7">
        <w:rPr>
          <w:bCs/>
          <w:shd w:val="clear" w:color="auto" w:fill="FFFFFF"/>
          <w:lang w:val="lt-LT"/>
        </w:rPr>
        <w:t xml:space="preserve"> nurodoma, kad </w:t>
      </w:r>
      <w:r w:rsidR="00F969C3" w:rsidRPr="00F91AB7">
        <w:rPr>
          <w:shd w:val="clear" w:color="auto" w:fill="FFFFFF"/>
          <w:lang w:val="lt-LT"/>
        </w:rPr>
        <w:t xml:space="preserve">tarėjų instituto įvedimo </w:t>
      </w:r>
      <w:r w:rsidRPr="00F91AB7">
        <w:rPr>
          <w:shd w:val="clear" w:color="auto" w:fill="FFFFFF"/>
          <w:lang w:val="lt-LT"/>
        </w:rPr>
        <w:t xml:space="preserve">neigiama </w:t>
      </w:r>
      <w:r w:rsidR="00F969C3" w:rsidRPr="00F91AB7">
        <w:rPr>
          <w:shd w:val="clear" w:color="auto" w:fill="FFFFFF"/>
          <w:lang w:val="lt-LT"/>
        </w:rPr>
        <w:t xml:space="preserve">pasekmė </w:t>
      </w:r>
      <w:r w:rsidRPr="00F91AB7">
        <w:rPr>
          <w:shd w:val="clear" w:color="auto" w:fill="FFFFFF"/>
          <w:lang w:val="lt-LT"/>
        </w:rPr>
        <w:t>gali būti tai</w:t>
      </w:r>
      <w:r w:rsidR="00F969C3" w:rsidRPr="00F91AB7">
        <w:rPr>
          <w:shd w:val="clear" w:color="auto" w:fill="FFFFFF"/>
          <w:lang w:val="lt-LT"/>
        </w:rPr>
        <w:t>, kad sprendimai galėtų būti argumentuojami subjektyviu teisingumo jausmu, emocijomis, prietarais ir stereotipais. Profesionaliems teisėjams nagrinėjant bylas kartu su tarėjais, gali būti priimami formaliosios teisės požiūriu nepagrįsti sprendimai, kai vadovaujamasi subjektyviais kriterijais. Vis dėlto</w:t>
      </w:r>
      <w:r w:rsidRPr="00F91AB7">
        <w:rPr>
          <w:shd w:val="clear" w:color="auto" w:fill="FFFFFF"/>
          <w:lang w:val="lt-LT"/>
        </w:rPr>
        <w:t>,</w:t>
      </w:r>
      <w:r w:rsidR="00F969C3" w:rsidRPr="00F91AB7">
        <w:rPr>
          <w:shd w:val="clear" w:color="auto" w:fill="FFFFFF"/>
          <w:lang w:val="lt-LT"/>
        </w:rPr>
        <w:t xml:space="preserve"> subjektyvus teisingumo jausmas, bent jau sprendžiant fakto ir kaltės klausimus, nėra vien tik (ar visuomet) subjektyvus: tyrimai rodo, kad paprastai jis atitinka bendrus praktikoje naudojamus </w:t>
      </w:r>
      <w:r w:rsidR="00F969C3" w:rsidRPr="00F91AB7">
        <w:rPr>
          <w:shd w:val="clear" w:color="auto" w:fill="FFFFFF"/>
          <w:lang w:val="lt-LT"/>
        </w:rPr>
        <w:lastRenderedPageBreak/>
        <w:t>teisinius konstruktus. Tad nors tam tikri mąstymo skirtumai egzistuoja, galutinis rezultatas būna labai panašus – tarėjai su profesionaliais teisėjais nesutar</w:t>
      </w:r>
      <w:r w:rsidRPr="00F91AB7">
        <w:rPr>
          <w:shd w:val="clear" w:color="auto" w:fill="FFFFFF"/>
          <w:lang w:val="lt-LT"/>
        </w:rPr>
        <w:t>ia tik retais atvejais</w:t>
      </w:r>
      <w:r w:rsidR="00F969C3" w:rsidRPr="00F91AB7">
        <w:rPr>
          <w:shd w:val="clear" w:color="auto" w:fill="FFFFFF"/>
          <w:lang w:val="lt-LT"/>
        </w:rPr>
        <w:t xml:space="preserve">. </w:t>
      </w:r>
    </w:p>
    <w:p w:rsidR="00C11C04" w:rsidRPr="00F91AB7" w:rsidRDefault="00C11C04" w:rsidP="00F969C3">
      <w:pPr>
        <w:pStyle w:val="NormalWeb"/>
        <w:pBdr>
          <w:left w:val="single" w:sz="18" w:space="8" w:color="FFFFFF"/>
        </w:pBdr>
        <w:shd w:val="clear" w:color="auto" w:fill="FFFFFF"/>
        <w:spacing w:before="0" w:beforeAutospacing="0" w:after="0" w:afterAutospacing="0"/>
        <w:jc w:val="both"/>
        <w:rPr>
          <w:shd w:val="clear" w:color="auto" w:fill="FFFFFF"/>
          <w:lang w:val="lt-LT"/>
        </w:rPr>
      </w:pPr>
    </w:p>
    <w:p w:rsidR="00F969C3" w:rsidRPr="00F91AB7" w:rsidRDefault="00F969C3" w:rsidP="00F969C3">
      <w:pPr>
        <w:pStyle w:val="NormalWeb"/>
        <w:pBdr>
          <w:left w:val="single" w:sz="18" w:space="8" w:color="FFFFFF"/>
        </w:pBdr>
        <w:shd w:val="clear" w:color="auto" w:fill="FFFFFF"/>
        <w:spacing w:before="0" w:beforeAutospacing="0" w:after="0" w:afterAutospacing="0"/>
        <w:jc w:val="both"/>
        <w:rPr>
          <w:bCs/>
          <w:shd w:val="clear" w:color="auto" w:fill="FFFFFF"/>
          <w:lang w:val="lt-LT"/>
        </w:rPr>
      </w:pPr>
      <w:r w:rsidRPr="00F91AB7">
        <w:rPr>
          <w:shd w:val="clear" w:color="auto" w:fill="FFFFFF"/>
          <w:lang w:val="lt-LT"/>
        </w:rPr>
        <w:t xml:space="preserve">Įdomu tai, kad toks tarėjų instituto </w:t>
      </w:r>
      <w:r w:rsidR="00F459F0" w:rsidRPr="00F91AB7">
        <w:rPr>
          <w:shd w:val="clear" w:color="auto" w:fill="FFFFFF"/>
          <w:lang w:val="lt-LT"/>
        </w:rPr>
        <w:t xml:space="preserve">įvedimo Lietuvos teismuose </w:t>
      </w:r>
      <w:r w:rsidRPr="00F91AB7">
        <w:rPr>
          <w:shd w:val="clear" w:color="auto" w:fill="FFFFFF"/>
          <w:lang w:val="lt-LT"/>
        </w:rPr>
        <w:t xml:space="preserve">vertinimas iš esmės atitinka </w:t>
      </w:r>
      <w:r w:rsidR="00C11C04" w:rsidRPr="00F91AB7">
        <w:rPr>
          <w:shd w:val="clear" w:color="auto" w:fill="FFFFFF"/>
          <w:lang w:val="lt-LT"/>
        </w:rPr>
        <w:t>Konstitucinio teismo jurisprudenciją, pagal kurią konstitucinė vertybė yra ne pats sprendimo priėmimas teisme, bet būtent teismo teisingo sprendimo priėmimas; konstitucinė teisingumo samprata suponuoja ne formalų, nominalų teismo vykdomą teisingumą, bet, svarbiausia, tokius teismo sprendimus (kitus baigiamuosius teismo aktus), kurie savo turiniu nėra neteisingi</w:t>
      </w:r>
      <w:r w:rsidR="00C11C04" w:rsidRPr="00F91AB7">
        <w:rPr>
          <w:rStyle w:val="FootnoteReference"/>
          <w:shd w:val="clear" w:color="auto" w:fill="FFFFFF"/>
          <w:lang w:val="lt-LT"/>
        </w:rPr>
        <w:footnoteReference w:id="19"/>
      </w:r>
      <w:r w:rsidR="00C11C04" w:rsidRPr="00F91AB7">
        <w:rPr>
          <w:i/>
          <w:shd w:val="clear" w:color="auto" w:fill="FFFFFF"/>
          <w:lang w:val="lt-LT"/>
        </w:rPr>
        <w:t>.</w:t>
      </w:r>
      <w:r w:rsidR="00C11C04" w:rsidRPr="00F91AB7">
        <w:rPr>
          <w:shd w:val="clear" w:color="auto" w:fill="FFFFFF"/>
          <w:lang w:val="lt-LT"/>
        </w:rPr>
        <w:t xml:space="preserve"> Be to, tai atitinka ir </w:t>
      </w:r>
      <w:r w:rsidRPr="00F91AB7">
        <w:rPr>
          <w:shd w:val="clear" w:color="auto" w:fill="FFFFFF"/>
          <w:lang w:val="lt-LT"/>
        </w:rPr>
        <w:t>šiuolaikinę teisės sampratą, kuri remiasi aiškiu teisės ir </w:t>
      </w:r>
      <w:bookmarkStart w:id="1" w:name="n4_54"/>
      <w:bookmarkEnd w:id="1"/>
      <w:r w:rsidRPr="00F91AB7">
        <w:rPr>
          <w:shd w:val="clear" w:color="auto" w:fill="FFFFFF"/>
          <w:lang w:val="lt-LT"/>
        </w:rPr>
        <w:t>įstatymo</w:t>
      </w:r>
      <w:bookmarkStart w:id="2" w:name="pn4_54"/>
      <w:bookmarkEnd w:id="2"/>
      <w:r w:rsidRPr="00F91AB7">
        <w:rPr>
          <w:shd w:val="clear" w:color="auto" w:fill="FFFFFF"/>
          <w:lang w:val="lt-LT"/>
        </w:rPr>
        <w:t> skyrimu pripažįstant teisę fundamentalesniu dalyku negu</w:t>
      </w:r>
      <w:bookmarkStart w:id="3" w:name="n4_55"/>
      <w:bookmarkEnd w:id="3"/>
      <w:r w:rsidRPr="00F91AB7">
        <w:rPr>
          <w:shd w:val="clear" w:color="auto" w:fill="FFFFFF"/>
          <w:lang w:val="lt-LT"/>
        </w:rPr>
        <w:t xml:space="preserve"> įstatymas</w:t>
      </w:r>
      <w:bookmarkStart w:id="4" w:name="pn4_55"/>
      <w:bookmarkEnd w:id="4"/>
      <w:r w:rsidRPr="00F91AB7">
        <w:rPr>
          <w:shd w:val="clear" w:color="auto" w:fill="FFFFFF"/>
          <w:lang w:val="lt-LT"/>
        </w:rPr>
        <w:t>. Jeigu teisė tapatinama su </w:t>
      </w:r>
      <w:bookmarkStart w:id="5" w:name="n4_56"/>
      <w:bookmarkEnd w:id="5"/>
      <w:r w:rsidRPr="00F91AB7">
        <w:rPr>
          <w:shd w:val="clear" w:color="auto" w:fill="FFFFFF"/>
          <w:lang w:val="lt-LT"/>
        </w:rPr>
        <w:t>įstatymu</w:t>
      </w:r>
      <w:bookmarkStart w:id="6" w:name="pn4_56"/>
      <w:bookmarkEnd w:id="6"/>
      <w:r w:rsidRPr="00F91AB7">
        <w:rPr>
          <w:shd w:val="clear" w:color="auto" w:fill="FFFFFF"/>
          <w:lang w:val="lt-LT"/>
        </w:rPr>
        <w:t>, tai teisės praktikos požiūriu pirmenybė būtų teikiama ne teisingumui, o teisėtumui. Formalus </w:t>
      </w:r>
      <w:bookmarkStart w:id="7" w:name="n4_57"/>
      <w:bookmarkEnd w:id="7"/>
      <w:r w:rsidRPr="00F91AB7">
        <w:rPr>
          <w:shd w:val="clear" w:color="auto" w:fill="FFFFFF"/>
          <w:lang w:val="lt-LT"/>
        </w:rPr>
        <w:t>įstatymų</w:t>
      </w:r>
      <w:bookmarkStart w:id="8" w:name="pn4_57"/>
      <w:bookmarkEnd w:id="8"/>
      <w:r w:rsidRPr="00F91AB7">
        <w:rPr>
          <w:shd w:val="clear" w:color="auto" w:fill="FFFFFF"/>
          <w:lang w:val="lt-LT"/>
        </w:rPr>
        <w:t> taikymas nulemtų teisėtą </w:t>
      </w:r>
      <w:bookmarkStart w:id="9" w:name="n4_58"/>
      <w:bookmarkEnd w:id="9"/>
      <w:r w:rsidRPr="00F91AB7">
        <w:rPr>
          <w:shd w:val="clear" w:color="auto" w:fill="FFFFFF"/>
          <w:lang w:val="lt-LT"/>
        </w:rPr>
        <w:t>sprendimą</w:t>
      </w:r>
      <w:bookmarkStart w:id="10" w:name="pn4_58"/>
      <w:bookmarkEnd w:id="10"/>
      <w:r w:rsidRPr="00F91AB7">
        <w:rPr>
          <w:shd w:val="clear" w:color="auto" w:fill="FFFFFF"/>
          <w:lang w:val="lt-LT"/>
        </w:rPr>
        <w:t>, kuris ne visada gali būti teisingas. Taigi turi būti pripažįstamas ne bet koks teisėtumas, o tik teisingumo teisėtumas. Tuo atveju, kai pagal faktines bylos aplinkybes, visuotinai pripažintus teisės principus, akivaizdu, jog </w:t>
      </w:r>
      <w:bookmarkStart w:id="11" w:name="n4_59"/>
      <w:bookmarkEnd w:id="11"/>
      <w:r w:rsidRPr="00F91AB7">
        <w:rPr>
          <w:shd w:val="clear" w:color="auto" w:fill="FFFFFF"/>
          <w:lang w:val="lt-LT"/>
        </w:rPr>
        <w:t>sprendimas</w:t>
      </w:r>
      <w:bookmarkStart w:id="12" w:name="pn4_59"/>
      <w:bookmarkEnd w:id="12"/>
      <w:r w:rsidRPr="00F91AB7">
        <w:rPr>
          <w:shd w:val="clear" w:color="auto" w:fill="FFFFFF"/>
          <w:lang w:val="lt-LT"/>
        </w:rPr>
        <w:t> konkretaus so</w:t>
      </w:r>
      <w:r w:rsidR="00E5528B" w:rsidRPr="00F91AB7">
        <w:rPr>
          <w:shd w:val="clear" w:color="auto" w:fill="FFFFFF"/>
          <w:lang w:val="lt-LT"/>
        </w:rPr>
        <w:t>cialinio konflikto atžvilgiu būtų</w:t>
      </w:r>
      <w:r w:rsidRPr="00F91AB7">
        <w:rPr>
          <w:shd w:val="clear" w:color="auto" w:fill="FFFFFF"/>
          <w:lang w:val="lt-LT"/>
        </w:rPr>
        <w:t xml:space="preserve"> formalus, bet neteisingas, būtina pirmumą teikti bendrajai teisės sampratai, nes ne viskas gali būti reglamentuota įstatymų ir tilpti į tam tikras teisės normas</w:t>
      </w:r>
      <w:r w:rsidRPr="00F91AB7">
        <w:rPr>
          <w:rStyle w:val="FootnoteReference"/>
          <w:shd w:val="clear" w:color="auto" w:fill="FFFFFF"/>
          <w:lang w:val="lt-LT"/>
        </w:rPr>
        <w:footnoteReference w:id="20"/>
      </w:r>
      <w:r w:rsidRPr="00F91AB7">
        <w:rPr>
          <w:i/>
          <w:shd w:val="clear" w:color="auto" w:fill="FFFFFF"/>
          <w:lang w:val="lt-LT"/>
        </w:rPr>
        <w:t>.</w:t>
      </w:r>
    </w:p>
    <w:p w:rsidR="00C11C04" w:rsidRPr="00F91AB7" w:rsidRDefault="00C11C04" w:rsidP="00B639D5">
      <w:pPr>
        <w:pStyle w:val="NormalWeb"/>
        <w:pBdr>
          <w:left w:val="single" w:sz="18" w:space="8" w:color="FFFFFF"/>
        </w:pBdr>
        <w:shd w:val="clear" w:color="auto" w:fill="FFFFFF"/>
        <w:spacing w:before="0" w:beforeAutospacing="0" w:after="0" w:afterAutospacing="0"/>
        <w:jc w:val="both"/>
        <w:rPr>
          <w:bCs/>
          <w:shd w:val="clear" w:color="auto" w:fill="FFFFFF"/>
          <w:lang w:val="lt-LT"/>
        </w:rPr>
      </w:pPr>
    </w:p>
    <w:p w:rsidR="00B639D5" w:rsidRPr="00F91AB7" w:rsidRDefault="00B639D5" w:rsidP="00B639D5">
      <w:pPr>
        <w:pStyle w:val="NormalWeb"/>
        <w:pBdr>
          <w:left w:val="single" w:sz="18" w:space="8" w:color="FFFFFF"/>
        </w:pBdr>
        <w:shd w:val="clear" w:color="auto" w:fill="FFFFFF"/>
        <w:spacing w:before="0" w:beforeAutospacing="0" w:after="0" w:afterAutospacing="0"/>
        <w:jc w:val="both"/>
        <w:rPr>
          <w:shd w:val="clear" w:color="auto" w:fill="FFFFFF"/>
          <w:lang w:val="lt-LT"/>
        </w:rPr>
      </w:pPr>
      <w:r w:rsidRPr="00F91AB7">
        <w:rPr>
          <w:bCs/>
          <w:shd w:val="clear" w:color="auto" w:fill="FFFFFF"/>
          <w:lang w:val="lt-LT"/>
        </w:rPr>
        <w:t xml:space="preserve">Grįžtant prie pagrindinės temos, svarbu pažymėti, kad pačioje </w:t>
      </w:r>
      <w:r w:rsidR="00F35D94" w:rsidRPr="00F91AB7">
        <w:rPr>
          <w:bCs/>
          <w:shd w:val="clear" w:color="auto" w:fill="FFFFFF"/>
          <w:lang w:val="lt-LT"/>
        </w:rPr>
        <w:t>v</w:t>
      </w:r>
      <w:r w:rsidR="00D44D64" w:rsidRPr="00F91AB7">
        <w:rPr>
          <w:bCs/>
          <w:shd w:val="clear" w:color="auto" w:fill="FFFFFF"/>
          <w:lang w:val="lt-LT"/>
        </w:rPr>
        <w:t>isuomeninių teisėjų (tarėjų) instituto teismuose koncepcijoje</w:t>
      </w:r>
      <w:r w:rsidR="00D44D64" w:rsidRPr="00F91AB7">
        <w:rPr>
          <w:rStyle w:val="FootnoteReference"/>
          <w:bCs/>
          <w:shd w:val="clear" w:color="auto" w:fill="FFFFFF"/>
          <w:lang w:val="lt-LT"/>
        </w:rPr>
        <w:footnoteReference w:id="21"/>
      </w:r>
      <w:r w:rsidR="00D44D64" w:rsidRPr="00F91AB7">
        <w:rPr>
          <w:bCs/>
          <w:shd w:val="clear" w:color="auto" w:fill="FFFFFF"/>
          <w:lang w:val="lt-LT"/>
        </w:rPr>
        <w:t xml:space="preserve"> kaip viena iš tarėjų instituto įvedimo neigiamų pasekmių yra nurodoma </w:t>
      </w:r>
      <w:r w:rsidR="00D44D64" w:rsidRPr="00F91AB7">
        <w:rPr>
          <w:shd w:val="clear" w:color="auto" w:fill="FFFFFF"/>
          <w:lang w:val="lt-LT"/>
        </w:rPr>
        <w:t>grėsmė jurisprudencijos tęstinumo principui, neprognozuojami sprendimai.</w:t>
      </w:r>
      <w:r w:rsidR="006E5245">
        <w:rPr>
          <w:shd w:val="clear" w:color="auto" w:fill="FFFFFF"/>
          <w:lang w:val="lt-LT"/>
        </w:rPr>
        <w:t xml:space="preserve"> </w:t>
      </w:r>
      <w:r w:rsidR="00D44D64" w:rsidRPr="006E5245">
        <w:rPr>
          <w:shd w:val="clear" w:color="auto" w:fill="FFFFFF"/>
          <w:lang w:val="lt-LT"/>
        </w:rPr>
        <w:t>Nepaisant to, kad tarėjai dažniausiai sutaria su profesionaliais teisėjais ir paprastai sprendimas priimamas bendru sutarimu, neišvengiamai bus bylų, kur pozicijos išsiskirs. Savaime tai nebūtų didelė problema, tačiau egzistuoja rizika, kad tarėjų balsais teismas gali nukrypti nuo suformuotos praktikos. Tai akivaizdžiai</w:t>
      </w:r>
      <w:r w:rsidR="00D44D64" w:rsidRPr="00F91AB7">
        <w:rPr>
          <w:shd w:val="clear" w:color="auto" w:fill="FFFFFF"/>
          <w:lang w:val="lt-LT"/>
        </w:rPr>
        <w:t xml:space="preserve"> prieštarautų konstituciniam asm</w:t>
      </w:r>
      <w:r w:rsidRPr="00F91AB7">
        <w:rPr>
          <w:shd w:val="clear" w:color="auto" w:fill="FFFFFF"/>
          <w:lang w:val="lt-LT"/>
        </w:rPr>
        <w:t xml:space="preserve">enų lygiateisiškumo principui. </w:t>
      </w:r>
      <w:r w:rsidR="006E5245">
        <w:rPr>
          <w:shd w:val="clear" w:color="auto" w:fill="FFFFFF"/>
          <w:lang w:val="lt-LT"/>
        </w:rPr>
        <w:t xml:space="preserve">Kitaip tariant, </w:t>
      </w:r>
      <w:r w:rsidR="006E5245" w:rsidRPr="00F91AB7">
        <w:rPr>
          <w:shd w:val="clear" w:color="auto" w:fill="FFFFFF"/>
          <w:lang w:val="lt-LT"/>
        </w:rPr>
        <w:t xml:space="preserve"> </w:t>
      </w:r>
      <w:r w:rsidR="006E5245" w:rsidRPr="006E5245">
        <w:rPr>
          <w:bCs/>
          <w:shd w:val="clear" w:color="auto" w:fill="FFFFFF"/>
          <w:lang w:val="lt-LT"/>
        </w:rPr>
        <w:t>visuomeninių teisėjų (tarėjų) instituto įteisinimas galimai kelia grėsmę pačiam teisinio s</w:t>
      </w:r>
      <w:r w:rsidR="00886000">
        <w:rPr>
          <w:bCs/>
          <w:shd w:val="clear" w:color="auto" w:fill="FFFFFF"/>
          <w:lang w:val="lt-LT"/>
        </w:rPr>
        <w:t>a</w:t>
      </w:r>
      <w:r w:rsidR="006E5245" w:rsidRPr="006E5245">
        <w:rPr>
          <w:bCs/>
          <w:shd w:val="clear" w:color="auto" w:fill="FFFFFF"/>
          <w:lang w:val="lt-LT"/>
        </w:rPr>
        <w:t xml:space="preserve">ugumo principui, kuris yra </w:t>
      </w:r>
      <w:r w:rsidR="006E5245" w:rsidRPr="006E5245">
        <w:rPr>
          <w:shd w:val="clear" w:color="auto" w:fill="FFFFFF"/>
          <w:lang w:val="lt-LT"/>
        </w:rPr>
        <w:t>vienas iš esminių Konstitucijoje įtvirtinto teisinės valstybės principo elementų</w:t>
      </w:r>
      <w:r w:rsidR="006E5245" w:rsidRPr="006E5245">
        <w:rPr>
          <w:bCs/>
          <w:shd w:val="clear" w:color="auto" w:fill="FFFFFF"/>
          <w:lang w:val="lt-LT"/>
        </w:rPr>
        <w:t xml:space="preserve">. </w:t>
      </w:r>
      <w:r w:rsidRPr="00F91AB7">
        <w:rPr>
          <w:shd w:val="clear" w:color="auto" w:fill="FFFFFF"/>
          <w:lang w:val="lt-LT"/>
        </w:rPr>
        <w:t>Siūlomas š</w:t>
      </w:r>
      <w:r w:rsidR="00D44D64" w:rsidRPr="00F91AB7">
        <w:rPr>
          <w:shd w:val="clear" w:color="auto" w:fill="FFFFFF"/>
          <w:lang w:val="lt-LT"/>
        </w:rPr>
        <w:t xml:space="preserve">ios potencialios problemos sprendimas – apeliacinės instancijos ir kasacinio teismo formavimas be </w:t>
      </w:r>
      <w:r w:rsidR="006E5245">
        <w:rPr>
          <w:shd w:val="clear" w:color="auto" w:fill="FFFFFF"/>
          <w:lang w:val="lt-LT"/>
        </w:rPr>
        <w:t xml:space="preserve">visuomeninių </w:t>
      </w:r>
      <w:r w:rsidR="00D44D64" w:rsidRPr="00F91AB7">
        <w:rPr>
          <w:shd w:val="clear" w:color="auto" w:fill="FFFFFF"/>
          <w:lang w:val="lt-LT"/>
        </w:rPr>
        <w:t xml:space="preserve">tarėjų. Tai yra, </w:t>
      </w:r>
      <w:r w:rsidR="00D44D64" w:rsidRPr="00F91AB7">
        <w:rPr>
          <w:bCs/>
          <w:shd w:val="clear" w:color="auto" w:fill="FFFFFF"/>
          <w:lang w:val="lt-LT"/>
        </w:rPr>
        <w:t>s</w:t>
      </w:r>
      <w:r w:rsidR="00D44D64" w:rsidRPr="00F91AB7">
        <w:rPr>
          <w:shd w:val="clear" w:color="auto" w:fill="FFFFFF"/>
          <w:lang w:val="lt-LT"/>
        </w:rPr>
        <w:t>iūloma nustatyti, kad tarėjai dalyvautų tik žodinio bylos nagrinėjimo procese pirmosios instancijos teismuose ir nebūtų skiriami dalyvauti nei apeliaciniame teisme, kadangi apeliacinės instancijos teismo užduotis yra ištaisyti pirmosios instancijos teismo padarytas klaidas, nei kasacinės instancijos teisme, kadangi kasacinės instancijos teismas  vykdo išskirtines funkcijas teismų sistemoje (teisės aiškinimas, vienodos teismų praktikos fo</w:t>
      </w:r>
      <w:r w:rsidR="005F200A" w:rsidRPr="00F91AB7">
        <w:rPr>
          <w:shd w:val="clear" w:color="auto" w:fill="FFFFFF"/>
          <w:lang w:val="lt-LT"/>
        </w:rPr>
        <w:t xml:space="preserve">rmavimas ir kt.). </w:t>
      </w:r>
      <w:r w:rsidRPr="00F91AB7">
        <w:rPr>
          <w:shd w:val="clear" w:color="auto" w:fill="FFFFFF"/>
          <w:lang w:val="lt-LT"/>
        </w:rPr>
        <w:t xml:space="preserve">Atsižvelgiant į tai, manytina, kad aptarta visuomenės tarėjų instituto ir vienodos teismų praktikos formavimo derinimo forma sukurtų pakankamas prielaidas </w:t>
      </w:r>
      <w:r w:rsidR="005D5627" w:rsidRPr="00F91AB7">
        <w:rPr>
          <w:shd w:val="clear" w:color="auto" w:fill="FFFFFF"/>
          <w:lang w:val="lt-LT"/>
        </w:rPr>
        <w:t xml:space="preserve">tinkamai taikyti teisinio saugumo principą: </w:t>
      </w:r>
      <w:r w:rsidRPr="00F91AB7">
        <w:rPr>
          <w:shd w:val="clear" w:color="auto" w:fill="FFFFFF"/>
          <w:lang w:val="lt-LT"/>
        </w:rPr>
        <w:t>užtikrinti jurisprudencijos prognozuojamumą</w:t>
      </w:r>
      <w:r w:rsidR="005D5627" w:rsidRPr="00F91AB7">
        <w:rPr>
          <w:shd w:val="clear" w:color="auto" w:fill="FFFFFF"/>
          <w:lang w:val="lt-LT"/>
        </w:rPr>
        <w:t xml:space="preserve"> ir</w:t>
      </w:r>
      <w:r w:rsidRPr="00F91AB7">
        <w:rPr>
          <w:shd w:val="clear" w:color="auto" w:fill="FFFFFF"/>
          <w:lang w:val="lt-LT"/>
        </w:rPr>
        <w:t xml:space="preserve"> tęstinumą</w:t>
      </w:r>
      <w:r w:rsidR="005D5627" w:rsidRPr="00F91AB7">
        <w:rPr>
          <w:shd w:val="clear" w:color="auto" w:fill="FFFFFF"/>
          <w:lang w:val="lt-LT"/>
        </w:rPr>
        <w:t xml:space="preserve"> </w:t>
      </w:r>
      <w:r w:rsidRPr="00F91AB7">
        <w:rPr>
          <w:shd w:val="clear" w:color="auto" w:fill="FFFFFF"/>
          <w:lang w:val="lt-LT"/>
        </w:rPr>
        <w:t xml:space="preserve">bei nepažeisti </w:t>
      </w:r>
      <w:r w:rsidRPr="00F91AB7">
        <w:rPr>
          <w:color w:val="000000"/>
          <w:shd w:val="clear" w:color="auto" w:fill="FFFFFF"/>
          <w:lang w:val="lt-LT"/>
        </w:rPr>
        <w:t>įvairių teisės subjektų teisėtų lūkesčių, kurie tokiais prognozuojamais sprendimais yra sukuriami.</w:t>
      </w:r>
    </w:p>
    <w:p w:rsidR="00277FDE" w:rsidRPr="00F91AB7" w:rsidRDefault="00277FDE" w:rsidP="006F1AB8">
      <w:pPr>
        <w:pStyle w:val="NormalWeb"/>
        <w:pBdr>
          <w:left w:val="single" w:sz="18" w:space="8" w:color="FFFFFF"/>
        </w:pBdr>
        <w:shd w:val="clear" w:color="auto" w:fill="FFFFFF"/>
        <w:spacing w:before="0" w:beforeAutospacing="0" w:after="0" w:afterAutospacing="0"/>
        <w:jc w:val="both"/>
        <w:rPr>
          <w:shd w:val="clear" w:color="auto" w:fill="FFFFFF"/>
          <w:lang w:val="lt-LT"/>
        </w:rPr>
      </w:pPr>
    </w:p>
    <w:p w:rsidR="00277FDE" w:rsidRPr="00F91AB7" w:rsidRDefault="00277FDE" w:rsidP="00277FDE">
      <w:pPr>
        <w:spacing w:after="0" w:line="240" w:lineRule="auto"/>
        <w:jc w:val="both"/>
        <w:rPr>
          <w:rFonts w:ascii="Times New Roman" w:eastAsia="Times New Roman" w:hAnsi="Times New Roman" w:cs="Times New Roman"/>
          <w:b/>
          <w:sz w:val="24"/>
          <w:szCs w:val="24"/>
          <w:shd w:val="clear" w:color="auto" w:fill="FFFFFF"/>
        </w:rPr>
      </w:pPr>
      <w:r w:rsidRPr="00F91AB7">
        <w:rPr>
          <w:rFonts w:ascii="Times New Roman" w:eastAsia="Times New Roman" w:hAnsi="Times New Roman" w:cs="Times New Roman"/>
          <w:b/>
          <w:sz w:val="24"/>
          <w:szCs w:val="24"/>
          <w:shd w:val="clear" w:color="auto" w:fill="FFFFFF"/>
        </w:rPr>
        <w:t>Išvados</w:t>
      </w:r>
    </w:p>
    <w:p w:rsidR="00277FDE" w:rsidRPr="00F91AB7" w:rsidRDefault="00277FDE" w:rsidP="00277FDE">
      <w:pPr>
        <w:spacing w:after="0" w:line="240" w:lineRule="auto"/>
        <w:jc w:val="both"/>
        <w:rPr>
          <w:rFonts w:ascii="Times New Roman" w:eastAsia="Times New Roman" w:hAnsi="Times New Roman" w:cs="Times New Roman"/>
          <w:sz w:val="24"/>
          <w:szCs w:val="24"/>
          <w:shd w:val="clear" w:color="auto" w:fill="FFFFFF"/>
        </w:rPr>
      </w:pPr>
    </w:p>
    <w:p w:rsidR="006F77D1" w:rsidRPr="00F91AB7" w:rsidRDefault="00277FDE" w:rsidP="006F1AB8">
      <w:pPr>
        <w:spacing w:after="0" w:line="240" w:lineRule="auto"/>
        <w:jc w:val="both"/>
        <w:rPr>
          <w:rFonts w:ascii="Times New Roman" w:eastAsia="Times New Roman" w:hAnsi="Times New Roman" w:cs="Times New Roman"/>
          <w:sz w:val="24"/>
          <w:szCs w:val="24"/>
          <w:lang w:eastAsia="lt-LT"/>
        </w:rPr>
      </w:pPr>
      <w:r w:rsidRPr="00F91AB7">
        <w:rPr>
          <w:rFonts w:ascii="Times New Roman" w:eastAsia="Times New Roman" w:hAnsi="Times New Roman" w:cs="Times New Roman"/>
          <w:sz w:val="24"/>
          <w:szCs w:val="24"/>
          <w:shd w:val="clear" w:color="auto" w:fill="FFFFFF"/>
        </w:rPr>
        <w:t>Apibendrin</w:t>
      </w:r>
      <w:r w:rsidR="00045408" w:rsidRPr="00F91AB7">
        <w:rPr>
          <w:rFonts w:ascii="Times New Roman" w:eastAsia="Times New Roman" w:hAnsi="Times New Roman" w:cs="Times New Roman"/>
          <w:sz w:val="24"/>
          <w:szCs w:val="24"/>
          <w:shd w:val="clear" w:color="auto" w:fill="FFFFFF"/>
        </w:rPr>
        <w:t xml:space="preserve">damas norėčiau pastebėti, kad, nepaisant pasitaikančių kontraversiškų vertinimų, </w:t>
      </w:r>
      <w:r w:rsidR="00045408" w:rsidRPr="00F91AB7">
        <w:rPr>
          <w:rFonts w:ascii="Times New Roman" w:eastAsia="Times New Roman" w:hAnsi="Times New Roman" w:cs="Times New Roman"/>
          <w:sz w:val="24"/>
          <w:szCs w:val="24"/>
          <w:lang w:eastAsia="lt-LT"/>
        </w:rPr>
        <w:t xml:space="preserve">gyvoji teisė </w:t>
      </w:r>
      <w:r w:rsidR="00045408" w:rsidRPr="00F91AB7">
        <w:rPr>
          <w:rFonts w:ascii="Times New Roman" w:eastAsia="Times New Roman" w:hAnsi="Times New Roman" w:cs="Times New Roman"/>
          <w:sz w:val="24"/>
          <w:szCs w:val="24"/>
          <w:shd w:val="clear" w:color="auto" w:fill="FFFFFF"/>
        </w:rPr>
        <w:t>ša</w:t>
      </w:r>
      <w:r w:rsidRPr="00F91AB7">
        <w:rPr>
          <w:rFonts w:ascii="Times New Roman" w:eastAsia="Times New Roman" w:hAnsi="Times New Roman" w:cs="Times New Roman"/>
          <w:sz w:val="24"/>
          <w:szCs w:val="24"/>
          <w:lang w:eastAsia="lt-LT"/>
        </w:rPr>
        <w:t xml:space="preserve">lia pozityviosios teisės </w:t>
      </w:r>
      <w:r w:rsidR="00045408" w:rsidRPr="00F91AB7">
        <w:rPr>
          <w:rFonts w:ascii="Times New Roman" w:eastAsia="Times New Roman" w:hAnsi="Times New Roman" w:cs="Times New Roman"/>
          <w:sz w:val="24"/>
          <w:szCs w:val="24"/>
          <w:lang w:eastAsia="lt-LT"/>
        </w:rPr>
        <w:t>egzistuoja ne veltui</w:t>
      </w:r>
      <w:r w:rsidRPr="00F91AB7">
        <w:rPr>
          <w:rFonts w:ascii="Times New Roman" w:eastAsia="Times New Roman" w:hAnsi="Times New Roman" w:cs="Times New Roman"/>
          <w:sz w:val="24"/>
          <w:szCs w:val="24"/>
          <w:lang w:eastAsia="lt-LT"/>
        </w:rPr>
        <w:t xml:space="preserve"> – tokį poreikį lemia ne tik būtinybė kurti patikimą ir saugią teisinę sistemą, kurioje galima </w:t>
      </w:r>
      <w:r w:rsidR="00AB051B" w:rsidRPr="00F91AB7">
        <w:rPr>
          <w:rFonts w:ascii="Times New Roman" w:eastAsia="Times New Roman" w:hAnsi="Times New Roman" w:cs="Times New Roman"/>
          <w:sz w:val="24"/>
          <w:szCs w:val="24"/>
          <w:lang w:eastAsia="lt-LT"/>
        </w:rPr>
        <w:t xml:space="preserve">iš anksto </w:t>
      </w:r>
      <w:r w:rsidRPr="00F91AB7">
        <w:rPr>
          <w:rFonts w:ascii="Times New Roman" w:eastAsia="Times New Roman" w:hAnsi="Times New Roman" w:cs="Times New Roman"/>
          <w:sz w:val="24"/>
          <w:szCs w:val="24"/>
          <w:lang w:eastAsia="lt-LT"/>
        </w:rPr>
        <w:t xml:space="preserve">prognozuoti teismų sprendimus, bet ir pasitaikantys įstatymų leidybos netobulumai, kartais iškylantis poreikis priimti „teisingą </w:t>
      </w:r>
      <w:r w:rsidRPr="00F91AB7">
        <w:rPr>
          <w:rFonts w:ascii="Times New Roman" w:eastAsia="Times New Roman" w:hAnsi="Times New Roman" w:cs="Times New Roman"/>
          <w:sz w:val="24"/>
          <w:szCs w:val="24"/>
          <w:lang w:eastAsia="lt-LT"/>
        </w:rPr>
        <w:lastRenderedPageBreak/>
        <w:t>sprendimą“, kuris ne visada sutampa su įprastomis teisės aiškinimo taisyklėmis ir pan. P</w:t>
      </w:r>
      <w:r w:rsidRPr="00F91AB7">
        <w:rPr>
          <w:rFonts w:ascii="Times New Roman" w:eastAsia="Times New Roman" w:hAnsi="Times New Roman" w:cs="Times New Roman"/>
          <w:sz w:val="24"/>
          <w:szCs w:val="24"/>
          <w:shd w:val="clear" w:color="auto" w:fill="FFFFFF"/>
        </w:rPr>
        <w:t xml:space="preserve">rieš 10 metų įtvirtinta </w:t>
      </w:r>
      <w:r w:rsidRPr="00F91AB7">
        <w:rPr>
          <w:rFonts w:ascii="Times New Roman" w:eastAsia="Times New Roman" w:hAnsi="Times New Roman" w:cs="Times New Roman"/>
          <w:sz w:val="24"/>
          <w:szCs w:val="24"/>
          <w:lang w:eastAsia="lt-LT"/>
        </w:rPr>
        <w:t>precedento doktrina</w:t>
      </w:r>
      <w:r w:rsidR="00AB051B" w:rsidRPr="00F91AB7">
        <w:rPr>
          <w:rFonts w:ascii="Times New Roman" w:eastAsia="Times New Roman" w:hAnsi="Times New Roman" w:cs="Times New Roman"/>
          <w:sz w:val="24"/>
          <w:szCs w:val="24"/>
          <w:lang w:eastAsia="lt-LT"/>
        </w:rPr>
        <w:t xml:space="preserve"> mūsų, palyginus, dar jaunoje teisinėje sistemoje </w:t>
      </w:r>
      <w:r w:rsidRPr="00F91AB7">
        <w:rPr>
          <w:rFonts w:ascii="Times New Roman" w:eastAsia="Times New Roman" w:hAnsi="Times New Roman" w:cs="Times New Roman"/>
          <w:sz w:val="24"/>
          <w:szCs w:val="24"/>
          <w:lang w:eastAsia="lt-LT"/>
        </w:rPr>
        <w:t xml:space="preserve">yra ypatingai svarbus žingsnis, užtikrinantis </w:t>
      </w:r>
      <w:r w:rsidR="000C218B">
        <w:rPr>
          <w:rFonts w:ascii="Times New Roman" w:eastAsia="Times New Roman" w:hAnsi="Times New Roman" w:cs="Times New Roman"/>
          <w:sz w:val="24"/>
          <w:szCs w:val="24"/>
          <w:lang w:eastAsia="lt-LT"/>
        </w:rPr>
        <w:t xml:space="preserve">tinkamą teisinio saugumo principo įgyvendinimą ir jo sudėtinius elementus: </w:t>
      </w:r>
      <w:r w:rsidR="00AB051B" w:rsidRPr="00F91AB7">
        <w:rPr>
          <w:rFonts w:ascii="Times New Roman" w:eastAsia="Times New Roman" w:hAnsi="Times New Roman" w:cs="Times New Roman"/>
          <w:sz w:val="24"/>
          <w:szCs w:val="24"/>
          <w:lang w:eastAsia="lt-LT"/>
        </w:rPr>
        <w:t>visuomeninių santykių teisinio reguliavimo stabilumą</w:t>
      </w:r>
      <w:r w:rsidR="005D5627" w:rsidRPr="00F91AB7">
        <w:rPr>
          <w:rFonts w:ascii="Times New Roman" w:eastAsia="Times New Roman" w:hAnsi="Times New Roman" w:cs="Times New Roman"/>
          <w:sz w:val="24"/>
          <w:szCs w:val="24"/>
          <w:lang w:eastAsia="lt-LT"/>
        </w:rPr>
        <w:t>,</w:t>
      </w:r>
      <w:r w:rsidR="00AB051B" w:rsidRPr="00F91AB7">
        <w:rPr>
          <w:rFonts w:ascii="Times New Roman" w:eastAsia="Times New Roman" w:hAnsi="Times New Roman" w:cs="Times New Roman"/>
          <w:sz w:val="24"/>
          <w:szCs w:val="24"/>
          <w:lang w:eastAsia="lt-LT"/>
        </w:rPr>
        <w:t xml:space="preserve"> tikrumą</w:t>
      </w:r>
      <w:r w:rsidR="005D5627" w:rsidRPr="00F91AB7">
        <w:rPr>
          <w:rFonts w:ascii="Times New Roman" w:eastAsia="Times New Roman" w:hAnsi="Times New Roman" w:cs="Times New Roman"/>
          <w:sz w:val="24"/>
          <w:szCs w:val="24"/>
          <w:lang w:eastAsia="lt-LT"/>
        </w:rPr>
        <w:t xml:space="preserve"> ir numatomumą, </w:t>
      </w:r>
      <w:r w:rsidR="00AB051B" w:rsidRPr="00F91AB7">
        <w:rPr>
          <w:rFonts w:ascii="Times New Roman" w:eastAsia="Times New Roman" w:hAnsi="Times New Roman" w:cs="Times New Roman"/>
          <w:sz w:val="24"/>
          <w:szCs w:val="24"/>
          <w:lang w:eastAsia="lt-LT"/>
        </w:rPr>
        <w:t xml:space="preserve">teismų jurisprudencijos tęstinumą. </w:t>
      </w:r>
      <w:r w:rsidRPr="00F91AB7">
        <w:rPr>
          <w:rFonts w:ascii="Times New Roman" w:eastAsia="Times New Roman" w:hAnsi="Times New Roman" w:cs="Times New Roman"/>
          <w:sz w:val="24"/>
          <w:szCs w:val="24"/>
          <w:lang w:eastAsia="lt-LT"/>
        </w:rPr>
        <w:t xml:space="preserve">Vis dėlto, </w:t>
      </w:r>
      <w:r w:rsidR="00AB051B" w:rsidRPr="00F91AB7">
        <w:rPr>
          <w:rFonts w:ascii="Times New Roman" w:eastAsia="Times New Roman" w:hAnsi="Times New Roman" w:cs="Times New Roman"/>
          <w:sz w:val="24"/>
          <w:szCs w:val="24"/>
          <w:lang w:eastAsia="lt-LT"/>
        </w:rPr>
        <w:t>teismų praktikos analizė sukuria prielaidas daryti išvadą, kad kol kas teismo precedentas kaip vienodos teismų praktikos formavimo</w:t>
      </w:r>
      <w:r w:rsidR="006E5245">
        <w:rPr>
          <w:rFonts w:ascii="Times New Roman" w:eastAsia="Times New Roman" w:hAnsi="Times New Roman" w:cs="Times New Roman"/>
          <w:sz w:val="24"/>
          <w:szCs w:val="24"/>
          <w:lang w:eastAsia="lt-LT"/>
        </w:rPr>
        <w:t xml:space="preserve">, o kartu ir </w:t>
      </w:r>
      <w:r w:rsidR="00CB292B" w:rsidRPr="00F91AB7">
        <w:rPr>
          <w:rFonts w:ascii="Times New Roman" w:eastAsia="Times New Roman" w:hAnsi="Times New Roman" w:cs="Times New Roman"/>
          <w:sz w:val="24"/>
          <w:szCs w:val="24"/>
          <w:lang w:eastAsia="lt-LT"/>
        </w:rPr>
        <w:t xml:space="preserve">teisinio saugumo principo užtikrinimo </w:t>
      </w:r>
      <w:r w:rsidR="006E5245">
        <w:rPr>
          <w:rFonts w:ascii="Times New Roman" w:eastAsia="Times New Roman" w:hAnsi="Times New Roman" w:cs="Times New Roman"/>
          <w:sz w:val="24"/>
          <w:szCs w:val="24"/>
          <w:lang w:eastAsia="lt-LT"/>
        </w:rPr>
        <w:t>priemonė</w:t>
      </w:r>
      <w:r w:rsidR="00CB292B" w:rsidRPr="00F91AB7">
        <w:rPr>
          <w:rFonts w:ascii="Times New Roman" w:eastAsia="Times New Roman" w:hAnsi="Times New Roman" w:cs="Times New Roman"/>
          <w:sz w:val="24"/>
          <w:szCs w:val="24"/>
          <w:lang w:eastAsia="lt-LT"/>
        </w:rPr>
        <w:t xml:space="preserve"> </w:t>
      </w:r>
      <w:r w:rsidR="00AB051B" w:rsidRPr="00F91AB7">
        <w:rPr>
          <w:rFonts w:ascii="Times New Roman" w:eastAsia="Times New Roman" w:hAnsi="Times New Roman" w:cs="Times New Roman"/>
          <w:sz w:val="24"/>
          <w:szCs w:val="24"/>
          <w:lang w:eastAsia="lt-LT"/>
        </w:rPr>
        <w:t>nėra tokia efektyvi, kokia galėtų būti. A</w:t>
      </w:r>
      <w:r w:rsidRPr="00F91AB7">
        <w:rPr>
          <w:rFonts w:ascii="Times New Roman" w:eastAsia="Times New Roman" w:hAnsi="Times New Roman" w:cs="Times New Roman"/>
          <w:sz w:val="24"/>
          <w:szCs w:val="24"/>
          <w:lang w:eastAsia="lt-LT"/>
        </w:rPr>
        <w:t xml:space="preserve">tsižvelgiant į </w:t>
      </w:r>
      <w:r w:rsidR="00AB051B" w:rsidRPr="00F91AB7">
        <w:rPr>
          <w:rFonts w:ascii="Times New Roman" w:eastAsia="Times New Roman" w:hAnsi="Times New Roman" w:cs="Times New Roman"/>
          <w:sz w:val="24"/>
          <w:szCs w:val="24"/>
          <w:lang w:eastAsia="lt-LT"/>
        </w:rPr>
        <w:t xml:space="preserve">tiek teismams, tiek advokatams </w:t>
      </w:r>
      <w:r w:rsidRPr="00F91AB7">
        <w:rPr>
          <w:rFonts w:ascii="Times New Roman" w:eastAsia="Times New Roman" w:hAnsi="Times New Roman" w:cs="Times New Roman"/>
          <w:sz w:val="24"/>
          <w:szCs w:val="24"/>
          <w:lang w:eastAsia="lt-LT"/>
        </w:rPr>
        <w:t xml:space="preserve">praktikoje kylančias problemas </w:t>
      </w:r>
      <w:r w:rsidR="00AB051B" w:rsidRPr="00F91AB7">
        <w:rPr>
          <w:rFonts w:ascii="Times New Roman" w:eastAsia="Times New Roman" w:hAnsi="Times New Roman" w:cs="Times New Roman"/>
          <w:sz w:val="24"/>
          <w:szCs w:val="24"/>
          <w:lang w:eastAsia="lt-LT"/>
        </w:rPr>
        <w:t xml:space="preserve">identifikuojant ir taikant </w:t>
      </w:r>
      <w:r w:rsidRPr="00F91AB7">
        <w:rPr>
          <w:rFonts w:ascii="Times New Roman" w:eastAsia="Times New Roman" w:hAnsi="Times New Roman" w:cs="Times New Roman"/>
          <w:sz w:val="24"/>
          <w:szCs w:val="24"/>
          <w:lang w:eastAsia="lt-LT"/>
        </w:rPr>
        <w:t>teismų precedentus, manytina, kad tendencija, kuomet kasacinis teismas aiškiai išskiria konkre</w:t>
      </w:r>
      <w:r w:rsidR="00AB051B" w:rsidRPr="00F91AB7">
        <w:rPr>
          <w:rFonts w:ascii="Times New Roman" w:eastAsia="Times New Roman" w:hAnsi="Times New Roman" w:cs="Times New Roman"/>
          <w:sz w:val="24"/>
          <w:szCs w:val="24"/>
          <w:lang w:eastAsia="lt-LT"/>
        </w:rPr>
        <w:t xml:space="preserve">čios teisės taikymo ir aiškinimo taisyklės </w:t>
      </w:r>
      <w:r w:rsidRPr="00F91AB7">
        <w:rPr>
          <w:rFonts w:ascii="Times New Roman" w:eastAsia="Times New Roman" w:hAnsi="Times New Roman" w:cs="Times New Roman"/>
          <w:sz w:val="24"/>
          <w:szCs w:val="24"/>
          <w:lang w:eastAsia="lt-LT"/>
        </w:rPr>
        <w:t>atitikimą precedento taikymo kriterijams, turėtų būti toliau ir plačiau plėtojama</w:t>
      </w:r>
      <w:r w:rsidR="00AB051B" w:rsidRPr="00F91AB7">
        <w:rPr>
          <w:rFonts w:ascii="Times New Roman" w:eastAsia="Times New Roman" w:hAnsi="Times New Roman" w:cs="Times New Roman"/>
          <w:sz w:val="24"/>
          <w:szCs w:val="24"/>
          <w:lang w:eastAsia="lt-LT"/>
        </w:rPr>
        <w:t xml:space="preserve">, siekiant didinti teismo precedento kaip vienodos teismų praktikos formavimo </w:t>
      </w:r>
      <w:r w:rsidR="006E5245">
        <w:rPr>
          <w:rFonts w:ascii="Times New Roman" w:eastAsia="Times New Roman" w:hAnsi="Times New Roman" w:cs="Times New Roman"/>
          <w:sz w:val="24"/>
          <w:szCs w:val="24"/>
          <w:lang w:eastAsia="lt-LT"/>
        </w:rPr>
        <w:t>ir teisinio s</w:t>
      </w:r>
      <w:r w:rsidR="00DE328B">
        <w:rPr>
          <w:rFonts w:ascii="Times New Roman" w:eastAsia="Times New Roman" w:hAnsi="Times New Roman" w:cs="Times New Roman"/>
          <w:sz w:val="24"/>
          <w:szCs w:val="24"/>
          <w:lang w:eastAsia="lt-LT"/>
        </w:rPr>
        <w:t>a</w:t>
      </w:r>
      <w:r w:rsidR="006E5245">
        <w:rPr>
          <w:rFonts w:ascii="Times New Roman" w:eastAsia="Times New Roman" w:hAnsi="Times New Roman" w:cs="Times New Roman"/>
          <w:sz w:val="24"/>
          <w:szCs w:val="24"/>
          <w:lang w:eastAsia="lt-LT"/>
        </w:rPr>
        <w:t xml:space="preserve">ugumo principo užtikrinimo </w:t>
      </w:r>
      <w:r w:rsidR="00AB051B" w:rsidRPr="00F91AB7">
        <w:rPr>
          <w:rFonts w:ascii="Times New Roman" w:eastAsia="Times New Roman" w:hAnsi="Times New Roman" w:cs="Times New Roman"/>
          <w:sz w:val="24"/>
          <w:szCs w:val="24"/>
          <w:lang w:eastAsia="lt-LT"/>
        </w:rPr>
        <w:t>priemonės efektyvumą</w:t>
      </w:r>
      <w:r w:rsidRPr="00F91AB7">
        <w:rPr>
          <w:rFonts w:ascii="Times New Roman" w:eastAsia="Times New Roman" w:hAnsi="Times New Roman" w:cs="Times New Roman"/>
          <w:sz w:val="24"/>
          <w:szCs w:val="24"/>
          <w:lang w:eastAsia="lt-LT"/>
        </w:rPr>
        <w:t xml:space="preserve">. </w:t>
      </w:r>
    </w:p>
    <w:sectPr w:rsidR="006F77D1" w:rsidRPr="00F91AB7" w:rsidSect="00EB6200">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90" w:rsidRDefault="00080690" w:rsidP="00F01970">
      <w:pPr>
        <w:spacing w:after="0" w:line="240" w:lineRule="auto"/>
      </w:pPr>
      <w:r>
        <w:separator/>
      </w:r>
    </w:p>
  </w:endnote>
  <w:endnote w:type="continuationSeparator" w:id="0">
    <w:p w:rsidR="00080690" w:rsidRDefault="00080690" w:rsidP="00F0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008428"/>
      <w:docPartObj>
        <w:docPartGallery w:val="Page Numbers (Bottom of Page)"/>
        <w:docPartUnique/>
      </w:docPartObj>
    </w:sdtPr>
    <w:sdtEndPr>
      <w:rPr>
        <w:noProof/>
      </w:rPr>
    </w:sdtEndPr>
    <w:sdtContent>
      <w:p w:rsidR="00A568EC" w:rsidRDefault="00A568EC">
        <w:pPr>
          <w:pStyle w:val="Footer"/>
          <w:jc w:val="right"/>
        </w:pPr>
        <w:r>
          <w:fldChar w:fldCharType="begin"/>
        </w:r>
        <w:r>
          <w:instrText xml:space="preserve"> PAGE   \* MERGEFORMAT </w:instrText>
        </w:r>
        <w:r>
          <w:fldChar w:fldCharType="separate"/>
        </w:r>
        <w:r w:rsidR="009A344F">
          <w:rPr>
            <w:noProof/>
          </w:rPr>
          <w:t>1</w:t>
        </w:r>
        <w:r>
          <w:rPr>
            <w:noProof/>
          </w:rPr>
          <w:fldChar w:fldCharType="end"/>
        </w:r>
      </w:p>
    </w:sdtContent>
  </w:sdt>
  <w:p w:rsidR="00A568EC" w:rsidRDefault="00A56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90" w:rsidRDefault="00080690" w:rsidP="00F01970">
      <w:pPr>
        <w:spacing w:after="0" w:line="240" w:lineRule="auto"/>
      </w:pPr>
      <w:r>
        <w:separator/>
      </w:r>
    </w:p>
  </w:footnote>
  <w:footnote w:type="continuationSeparator" w:id="0">
    <w:p w:rsidR="00080690" w:rsidRDefault="00080690" w:rsidP="00F01970">
      <w:pPr>
        <w:spacing w:after="0" w:line="240" w:lineRule="auto"/>
      </w:pPr>
      <w:r>
        <w:continuationSeparator/>
      </w:r>
    </w:p>
  </w:footnote>
  <w:footnote w:id="1">
    <w:p w:rsidR="00CB292B" w:rsidRPr="00355966" w:rsidRDefault="00CB292B" w:rsidP="00CB292B">
      <w:pPr>
        <w:pStyle w:val="FootnoteText"/>
        <w:rPr>
          <w:rFonts w:cs="Times New Roman"/>
          <w:lang w:val="en-US"/>
        </w:rPr>
      </w:pPr>
      <w:r w:rsidRPr="00355966">
        <w:rPr>
          <w:rStyle w:val="FootnoteReference"/>
          <w:rFonts w:cs="Times New Roman"/>
        </w:rPr>
        <w:footnoteRef/>
      </w:r>
      <w:r w:rsidRPr="004232FB">
        <w:rPr>
          <w:rFonts w:cs="Times New Roman"/>
        </w:rPr>
        <w:t xml:space="preserve"> </w:t>
      </w:r>
      <w:r w:rsidRPr="00A571A3">
        <w:rPr>
          <w:rFonts w:cs="Times New Roman"/>
          <w:color w:val="000000"/>
          <w:shd w:val="clear" w:color="auto" w:fill="FFFFFF"/>
        </w:rPr>
        <w:t>Konstitucinio Teismo 2007 m. spalio 24 d. nutarimas.</w:t>
      </w:r>
    </w:p>
  </w:footnote>
  <w:footnote w:id="2">
    <w:p w:rsidR="00333DF8" w:rsidRDefault="00333DF8">
      <w:pPr>
        <w:pStyle w:val="FootnoteText"/>
      </w:pPr>
      <w:r>
        <w:rPr>
          <w:rStyle w:val="FootnoteReference"/>
        </w:rPr>
        <w:footnoteRef/>
      </w:r>
      <w:r>
        <w:t xml:space="preserve"> </w:t>
      </w:r>
      <w:r w:rsidRPr="000E7619">
        <w:rPr>
          <w:rFonts w:cs="Times New Roman"/>
          <w:color w:val="000000"/>
          <w:shd w:val="clear" w:color="auto" w:fill="FFFFFF"/>
        </w:rPr>
        <w:t xml:space="preserve">Konstitucinio Teismo </w:t>
      </w:r>
      <w:r>
        <w:rPr>
          <w:rFonts w:cs="Times New Roman"/>
          <w:color w:val="000000"/>
          <w:shd w:val="clear" w:color="auto" w:fill="FFFFFF"/>
        </w:rPr>
        <w:t>200</w:t>
      </w:r>
      <w:r>
        <w:rPr>
          <w:rFonts w:cs="Times New Roman"/>
          <w:color w:val="000000"/>
          <w:shd w:val="clear" w:color="auto" w:fill="FFFFFF"/>
          <w:lang w:val="en-US"/>
        </w:rPr>
        <w:t>1</w:t>
      </w:r>
      <w:r w:rsidRPr="000E7619">
        <w:rPr>
          <w:rFonts w:cs="Times New Roman"/>
          <w:color w:val="000000"/>
          <w:shd w:val="clear" w:color="auto" w:fill="FFFFFF"/>
        </w:rPr>
        <w:t xml:space="preserve"> m. </w:t>
      </w:r>
      <w:r>
        <w:rPr>
          <w:rFonts w:cs="Times New Roman"/>
          <w:color w:val="000000"/>
          <w:shd w:val="clear" w:color="auto" w:fill="FFFFFF"/>
        </w:rPr>
        <w:t>liepos</w:t>
      </w:r>
      <w:r w:rsidRPr="000E7619">
        <w:rPr>
          <w:rFonts w:cs="Times New Roman"/>
          <w:color w:val="000000"/>
          <w:shd w:val="clear" w:color="auto" w:fill="FFFFFF"/>
        </w:rPr>
        <w:t xml:space="preserve"> </w:t>
      </w:r>
      <w:r>
        <w:rPr>
          <w:rFonts w:cs="Times New Roman"/>
          <w:color w:val="000000"/>
          <w:shd w:val="clear" w:color="auto" w:fill="FFFFFF"/>
        </w:rPr>
        <w:t>18</w:t>
      </w:r>
      <w:r w:rsidRPr="000E7619">
        <w:rPr>
          <w:rFonts w:cs="Times New Roman"/>
          <w:color w:val="000000"/>
          <w:shd w:val="clear" w:color="auto" w:fill="FFFFFF"/>
        </w:rPr>
        <w:t xml:space="preserve"> d. nutarimas.</w:t>
      </w:r>
    </w:p>
  </w:footnote>
  <w:footnote w:id="3">
    <w:p w:rsidR="0096242C" w:rsidRPr="0096242C" w:rsidRDefault="0096242C">
      <w:pPr>
        <w:pStyle w:val="FootnoteText"/>
        <w:rPr>
          <w:rFonts w:cs="Times New Roman"/>
        </w:rPr>
      </w:pPr>
      <w:r w:rsidRPr="0096242C">
        <w:rPr>
          <w:rStyle w:val="FootnoteReference"/>
          <w:rFonts w:cs="Times New Roman"/>
        </w:rPr>
        <w:footnoteRef/>
      </w:r>
      <w:r w:rsidRPr="0096242C">
        <w:rPr>
          <w:rFonts w:cs="Times New Roman"/>
        </w:rPr>
        <w:t xml:space="preserve"> </w:t>
      </w:r>
      <w:r w:rsidRPr="0096242C">
        <w:rPr>
          <w:rFonts w:cs="Times New Roman"/>
          <w:color w:val="000000"/>
        </w:rPr>
        <w:t>Konstitucinio Teismo 2006 m. kovo 28 d. ir 2007 m. spalio 24 d. nutarimai.</w:t>
      </w:r>
    </w:p>
  </w:footnote>
  <w:footnote w:id="4">
    <w:p w:rsidR="00490525" w:rsidRDefault="00490525" w:rsidP="00490525">
      <w:pPr>
        <w:pStyle w:val="FootnoteText"/>
      </w:pPr>
      <w:r>
        <w:rPr>
          <w:rStyle w:val="FootnoteReference"/>
        </w:rPr>
        <w:footnoteRef/>
      </w:r>
      <w:r>
        <w:t xml:space="preserve"> </w:t>
      </w:r>
      <w:r w:rsidRPr="00490525">
        <w:rPr>
          <w:rFonts w:cs="Times New Roman"/>
          <w:color w:val="000000"/>
        </w:rPr>
        <w:t>Pvz.: Lietuvos Aukščiausiojo Teismo 2009 m. gruodžio 8 d. nutartis civilinėje byloje Nr. 3K-3-552/2009; 2010 m. gruodžio 20 d. nutartis civilinėje byloje Nr. 3K-7-385/2010</w:t>
      </w:r>
      <w:r w:rsidR="00CB1AFB">
        <w:rPr>
          <w:rFonts w:cs="Times New Roman"/>
          <w:color w:val="000000"/>
        </w:rPr>
        <w:t xml:space="preserve">; 2012 </w:t>
      </w:r>
      <w:r w:rsidR="00CB1AFB" w:rsidRPr="00490525">
        <w:rPr>
          <w:rFonts w:cs="Times New Roman"/>
          <w:color w:val="000000"/>
        </w:rPr>
        <w:t xml:space="preserve">m. </w:t>
      </w:r>
      <w:r w:rsidR="00CB1AFB">
        <w:rPr>
          <w:rFonts w:cs="Times New Roman"/>
          <w:color w:val="000000"/>
        </w:rPr>
        <w:t>gegužės 2</w:t>
      </w:r>
      <w:r w:rsidR="00CB1AFB" w:rsidRPr="00490525">
        <w:rPr>
          <w:rFonts w:cs="Times New Roman"/>
          <w:color w:val="000000"/>
        </w:rPr>
        <w:t xml:space="preserve"> d. nutartis civilinėje byloje Nr. </w:t>
      </w:r>
      <w:r w:rsidR="00CB1AFB">
        <w:rPr>
          <w:color w:val="000000"/>
        </w:rPr>
        <w:t xml:space="preserve">3K-3-218/2012. </w:t>
      </w:r>
    </w:p>
  </w:footnote>
  <w:footnote w:id="5">
    <w:p w:rsidR="00151091" w:rsidRDefault="00151091">
      <w:pPr>
        <w:pStyle w:val="FootnoteText"/>
      </w:pPr>
      <w:r>
        <w:rPr>
          <w:rStyle w:val="FootnoteReference"/>
        </w:rPr>
        <w:footnoteRef/>
      </w:r>
      <w:r>
        <w:t xml:space="preserve"> Konstitucinio teismo </w:t>
      </w:r>
      <w:r w:rsidRPr="00762478">
        <w:rPr>
          <w:shd w:val="clear" w:color="auto" w:fill="FFFFFF"/>
        </w:rPr>
        <w:t>2006 m. kovo mėn. 28 d. nutarimas</w:t>
      </w:r>
      <w:r>
        <w:rPr>
          <w:shd w:val="clear" w:color="auto" w:fill="FFFFFF"/>
        </w:rPr>
        <w:t>.</w:t>
      </w:r>
    </w:p>
  </w:footnote>
  <w:footnote w:id="6">
    <w:p w:rsidR="00BA7F32" w:rsidRDefault="00BA7F32" w:rsidP="00BA7F32">
      <w:pPr>
        <w:pStyle w:val="FootnoteText"/>
      </w:pPr>
      <w:r>
        <w:rPr>
          <w:rStyle w:val="FootnoteReference"/>
        </w:rPr>
        <w:footnoteRef/>
      </w:r>
      <w:r>
        <w:t xml:space="preserve"> ES Teisingumo Teismo 2015 m. kovo 26 d. sprendimas</w:t>
      </w:r>
      <w:r w:rsidRPr="00110F0E">
        <w:t xml:space="preserve"> Litaksa </w:t>
      </w:r>
      <w:r>
        <w:t>byloje C-556/13.</w:t>
      </w:r>
    </w:p>
  </w:footnote>
  <w:footnote w:id="7">
    <w:p w:rsidR="00161EB8" w:rsidRPr="00161EB8" w:rsidRDefault="00161EB8">
      <w:pPr>
        <w:pStyle w:val="FootnoteText"/>
      </w:pPr>
      <w:r w:rsidRPr="00161EB8">
        <w:rPr>
          <w:rStyle w:val="FootnoteReference"/>
        </w:rPr>
        <w:footnoteRef/>
      </w:r>
      <w:r w:rsidRPr="00161EB8">
        <w:t xml:space="preserve"> Šis išaiškinimas buvo pateiktas dėl </w:t>
      </w:r>
      <w:r w:rsidRPr="00161EB8">
        <w:rPr>
          <w:rFonts w:cs="Times New Roman"/>
        </w:rPr>
        <w:t xml:space="preserve">1990 m. gegužės 14 d. Trečiosios Tarybos direktyvos 90/232/EEB dėl valstybių narių įstatymų, susijusių su motorinių transporto priemonių valdytojų civilinės atsakomybės draudimu, suderinimo, iš dalies pakeistos 2005 m. gegužės 11 d. Europos Parlamento ir Tarybos direktyva 2005/14/EB, 2 straipsnio. </w:t>
      </w:r>
    </w:p>
  </w:footnote>
  <w:footnote w:id="8">
    <w:p w:rsidR="006D61D9" w:rsidRDefault="006D61D9" w:rsidP="006D61D9">
      <w:pPr>
        <w:pStyle w:val="FootnoteText"/>
      </w:pPr>
      <w:r>
        <w:rPr>
          <w:rStyle w:val="FootnoteReference"/>
        </w:rPr>
        <w:footnoteRef/>
      </w:r>
      <w:r>
        <w:t xml:space="preserve"> </w:t>
      </w:r>
      <w:r w:rsidRPr="00770CB9">
        <w:t>Lietuvos Aukščiausi</w:t>
      </w:r>
      <w:r w:rsidR="00914E30">
        <w:t>ojo T</w:t>
      </w:r>
      <w:r>
        <w:t xml:space="preserve">eismo </w:t>
      </w:r>
      <w:r w:rsidRPr="00770CB9">
        <w:t>2015 m. gegužės mėn. 29 d. nutart</w:t>
      </w:r>
      <w:r w:rsidR="00914E30">
        <w:t xml:space="preserve">is </w:t>
      </w:r>
      <w:r w:rsidRPr="00770CB9">
        <w:t>civilinė</w:t>
      </w:r>
      <w:r>
        <w:t>je byloje Nr. 3K-7-334-687/2015</w:t>
      </w:r>
      <w:r w:rsidR="00914E30">
        <w:t xml:space="preserve">. </w:t>
      </w:r>
    </w:p>
  </w:footnote>
  <w:footnote w:id="9">
    <w:p w:rsidR="00914E30" w:rsidRPr="00863DD3" w:rsidRDefault="00914E30">
      <w:pPr>
        <w:pStyle w:val="FootnoteText"/>
      </w:pPr>
      <w:r w:rsidRPr="00863DD3">
        <w:rPr>
          <w:rStyle w:val="FootnoteReference"/>
        </w:rPr>
        <w:footnoteRef/>
      </w:r>
      <w:r w:rsidRPr="00863DD3">
        <w:t xml:space="preserve"> </w:t>
      </w:r>
      <w:r w:rsidRPr="00863DD3">
        <w:rPr>
          <w:rFonts w:cs="Times New Roman"/>
        </w:rPr>
        <w:t>Lietuvos Aukščiausiojo Teismo 2015 m. spalio 2 d. nutartis civilinėje byloje Nr. 3K-3-489-969/2015.</w:t>
      </w:r>
    </w:p>
  </w:footnote>
  <w:footnote w:id="10">
    <w:p w:rsidR="00863DD3" w:rsidRDefault="00863DD3">
      <w:pPr>
        <w:pStyle w:val="FootnoteText"/>
      </w:pPr>
      <w:r w:rsidRPr="00863DD3">
        <w:rPr>
          <w:rStyle w:val="FootnoteReference"/>
        </w:rPr>
        <w:footnoteRef/>
      </w:r>
      <w:r w:rsidRPr="00863DD3">
        <w:t xml:space="preserve"> Pvz.: </w:t>
      </w:r>
      <w:r w:rsidRPr="00863DD3">
        <w:rPr>
          <w:rFonts w:cs="Times New Roman"/>
          <w:color w:val="000000"/>
        </w:rPr>
        <w:t>Lietuvos Aukščiausiojo Teismo 2015 m. vasario 18 d. nutartį, priimtą civilinėje byloje Nr. 3K-3-58-218/2015; 2014 m. spalio 17 d. nutartį, priimtą civilinėje byloje Nr. 3K-3-445/2014; 2014 m. sausio 14 d. nutartį, priimtą civilinėje byloje Nr. 3K-3-140/2014.</w:t>
      </w:r>
      <w:r>
        <w:rPr>
          <w:rFonts w:cs="Times New Roman"/>
          <w:color w:val="000000"/>
          <w:sz w:val="24"/>
          <w:szCs w:val="24"/>
        </w:rPr>
        <w:t xml:space="preserve"> </w:t>
      </w:r>
    </w:p>
  </w:footnote>
  <w:footnote w:id="11">
    <w:p w:rsidR="00530663" w:rsidRPr="007707FC" w:rsidRDefault="00530663" w:rsidP="00530663">
      <w:pPr>
        <w:pStyle w:val="FootnoteText"/>
      </w:pPr>
      <w:r>
        <w:rPr>
          <w:rStyle w:val="FootnoteReference"/>
        </w:rPr>
        <w:footnoteRef/>
      </w:r>
      <w:r>
        <w:t xml:space="preserve"> Atitinkamai teismų </w:t>
      </w:r>
      <w:r w:rsidRPr="007707FC">
        <w:t>įstatymo 23 straipsnio 4 dalis ir 31 straipsnio 4 dalis.</w:t>
      </w:r>
    </w:p>
  </w:footnote>
  <w:footnote w:id="12">
    <w:p w:rsidR="00D16241" w:rsidRPr="007707FC" w:rsidRDefault="00D16241">
      <w:pPr>
        <w:pStyle w:val="FootnoteText"/>
        <w:rPr>
          <w:lang w:val="en-US"/>
        </w:rPr>
      </w:pPr>
      <w:r w:rsidRPr="007707FC">
        <w:rPr>
          <w:rStyle w:val="FootnoteReference"/>
        </w:rPr>
        <w:footnoteRef/>
      </w:r>
      <w:r w:rsidRPr="007707FC">
        <w:t xml:space="preserve"> Konstitucinio teismo </w:t>
      </w:r>
      <w:r w:rsidRPr="007707FC">
        <w:rPr>
          <w:shd w:val="clear" w:color="auto" w:fill="FFFFFF"/>
        </w:rPr>
        <w:t>2006 m. kovo mėn. 28 d. nutarimas.</w:t>
      </w:r>
    </w:p>
  </w:footnote>
  <w:footnote w:id="13">
    <w:p w:rsidR="004C0F22" w:rsidRDefault="004C0F22" w:rsidP="004C0F22">
      <w:pPr>
        <w:pStyle w:val="FootnoteText"/>
      </w:pPr>
      <w:r>
        <w:rPr>
          <w:rStyle w:val="FootnoteReference"/>
        </w:rPr>
        <w:footnoteRef/>
      </w:r>
      <w:r>
        <w:t xml:space="preserve"> </w:t>
      </w:r>
      <w:r w:rsidRPr="00A047BD">
        <w:t>Pvz.: Lietuvos Aukščiausiojo Teismo 2007 m. gruodžio 3 d. nutartis civilinėje byloje Nr. 3K-3-534/2007.</w:t>
      </w:r>
    </w:p>
  </w:footnote>
  <w:footnote w:id="14">
    <w:p w:rsidR="00A047BD" w:rsidRDefault="00A047BD">
      <w:pPr>
        <w:pStyle w:val="FootnoteText"/>
      </w:pPr>
      <w:r>
        <w:rPr>
          <w:rStyle w:val="FootnoteReference"/>
        </w:rPr>
        <w:footnoteRef/>
      </w:r>
      <w:r>
        <w:t xml:space="preserve"> </w:t>
      </w:r>
      <w:r w:rsidR="00B41985">
        <w:t xml:space="preserve">Pvz.: </w:t>
      </w:r>
      <w:r w:rsidRPr="007B4C0B">
        <w:t>Lietuvos Aukščiausiojo Teismo 2007 m. spalio 8 d. nutart</w:t>
      </w:r>
      <w:r w:rsidR="00B41985">
        <w:t xml:space="preserve">is </w:t>
      </w:r>
      <w:r w:rsidRPr="007B4C0B">
        <w:t>civi</w:t>
      </w:r>
      <w:r w:rsidR="00B41985">
        <w:t xml:space="preserve">linėje byloje Nr. 3K-3-364/2007. </w:t>
      </w:r>
    </w:p>
  </w:footnote>
  <w:footnote w:id="15">
    <w:p w:rsidR="002F1959" w:rsidRPr="002F1959" w:rsidRDefault="002F1959" w:rsidP="00CA7D7D">
      <w:pPr>
        <w:pStyle w:val="FootnoteText"/>
      </w:pPr>
      <w:r w:rsidRPr="002F1959">
        <w:rPr>
          <w:rStyle w:val="FootnoteReference"/>
        </w:rPr>
        <w:footnoteRef/>
      </w:r>
      <w:r w:rsidRPr="002F1959">
        <w:t xml:space="preserve"> Pvz.: </w:t>
      </w:r>
      <w:r w:rsidRPr="002F1959">
        <w:rPr>
          <w:rFonts w:cs="Times New Roman"/>
        </w:rPr>
        <w:t>Lietuvos Aukščiausiojo Teismo 2010 m. lapkričio 9 d. nutartis civilinėje byloje 3K-3-443/2010.</w:t>
      </w:r>
    </w:p>
  </w:footnote>
  <w:footnote w:id="16">
    <w:p w:rsidR="00CA7D7D" w:rsidRPr="004B303D" w:rsidRDefault="00CA7D7D" w:rsidP="004B303D">
      <w:pPr>
        <w:pStyle w:val="Heading1"/>
        <w:shd w:val="clear" w:color="auto" w:fill="FFFFFF"/>
        <w:spacing w:before="0" w:beforeAutospacing="0" w:after="0" w:afterAutospacing="0"/>
        <w:jc w:val="both"/>
        <w:rPr>
          <w:b w:val="0"/>
          <w:bCs w:val="0"/>
          <w:kern w:val="0"/>
          <w:sz w:val="20"/>
          <w:szCs w:val="20"/>
          <w:lang w:eastAsia="ar-SA"/>
        </w:rPr>
      </w:pPr>
      <w:r w:rsidRPr="004B303D">
        <w:rPr>
          <w:rStyle w:val="FootnoteReference"/>
          <w:rFonts w:cs="Calibri"/>
          <w:b w:val="0"/>
          <w:sz w:val="20"/>
          <w:szCs w:val="20"/>
        </w:rPr>
        <w:footnoteRef/>
      </w:r>
      <w:r w:rsidRPr="00CA7D7D">
        <w:rPr>
          <w:b w:val="0"/>
          <w:bCs w:val="0"/>
          <w:kern w:val="0"/>
          <w:sz w:val="20"/>
          <w:szCs w:val="20"/>
          <w:lang w:eastAsia="ar-SA"/>
        </w:rPr>
        <w:t xml:space="preserve"> Lietuvos Aukščiausiojo Teismo 2013 m. gegužės mėn. 27 d. nutartis civilinėje byloje Nr. 3K-3-304/2013.</w:t>
      </w:r>
    </w:p>
  </w:footnote>
  <w:footnote w:id="17">
    <w:p w:rsidR="00272E04" w:rsidRDefault="00272E04">
      <w:pPr>
        <w:pStyle w:val="FootnoteText"/>
      </w:pPr>
      <w:r>
        <w:rPr>
          <w:rStyle w:val="FootnoteReference"/>
        </w:rPr>
        <w:footnoteRef/>
      </w:r>
      <w:r>
        <w:t xml:space="preserve"> </w:t>
      </w:r>
      <w:r w:rsidRPr="00272E04">
        <w:rPr>
          <w:rFonts w:cs="Times New Roman"/>
        </w:rPr>
        <w:t>Pvz.: 2015 m.</w:t>
      </w:r>
      <w:r w:rsidRPr="00272E04">
        <w:t> </w:t>
      </w:r>
      <w:r w:rsidRPr="00272E04">
        <w:rPr>
          <w:rFonts w:cs="Times New Roman"/>
        </w:rPr>
        <w:t>vasario 4</w:t>
      </w:r>
      <w:r w:rsidRPr="00272E04">
        <w:t> </w:t>
      </w:r>
      <w:r w:rsidRPr="00272E04">
        <w:rPr>
          <w:rFonts w:cs="Times New Roman"/>
        </w:rPr>
        <w:t>d. nutartis civilinėje byloje Nr. 3K-3-12-701/2015; 2016 m. vasario 5 d. nutartis civilinėje byloje Nr. 3K-3-27-611/2016; 2016 m. vasario mėn. 22 d. nutartis civilinėje byloje Nr. 3K-3-108-611/2016 ir kt.</w:t>
      </w:r>
    </w:p>
  </w:footnote>
  <w:footnote w:id="18">
    <w:p w:rsidR="00F459F0" w:rsidRPr="006F77D1" w:rsidRDefault="00F459F0" w:rsidP="00F459F0">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265DE6">
        <w:rPr>
          <w:rStyle w:val="FootnoteReference"/>
          <w:rFonts w:ascii="Times New Roman" w:hAnsi="Times New Roman" w:cs="Times New Roman"/>
          <w:sz w:val="20"/>
          <w:szCs w:val="20"/>
        </w:rPr>
        <w:footnoteRef/>
      </w:r>
      <w:r w:rsidRPr="00265DE6">
        <w:rPr>
          <w:rFonts w:ascii="Times New Roman" w:hAnsi="Times New Roman" w:cs="Times New Roman"/>
          <w:sz w:val="20"/>
          <w:szCs w:val="20"/>
        </w:rPr>
        <w:t xml:space="preserve"> </w:t>
      </w:r>
      <w:r w:rsidRPr="00265DE6">
        <w:rPr>
          <w:rFonts w:ascii="Times New Roman" w:eastAsia="Times New Roman" w:hAnsi="Times New Roman" w:cs="Times New Roman"/>
          <w:color w:val="000000"/>
          <w:sz w:val="20"/>
          <w:szCs w:val="20"/>
          <w:lang w:eastAsia="lt-LT"/>
        </w:rPr>
        <w:t xml:space="preserve">Lietuvos Respublikos Vyriausybės 2016 m. gegužės 11 d. </w:t>
      </w:r>
      <w:r w:rsidRPr="00265DE6">
        <w:rPr>
          <w:rFonts w:ascii="Times New Roman" w:eastAsia="Times New Roman" w:hAnsi="Times New Roman" w:cs="Times New Roman"/>
          <w:bCs/>
          <w:color w:val="000000"/>
          <w:sz w:val="20"/>
          <w:szCs w:val="20"/>
          <w:lang w:eastAsia="lt-LT"/>
        </w:rPr>
        <w:t xml:space="preserve">nutarimas </w:t>
      </w:r>
      <w:r w:rsidRPr="00265DE6">
        <w:rPr>
          <w:rFonts w:ascii="Times New Roman" w:eastAsia="Times New Roman" w:hAnsi="Times New Roman" w:cs="Times New Roman"/>
          <w:color w:val="000000"/>
          <w:sz w:val="20"/>
          <w:szCs w:val="20"/>
          <w:lang w:eastAsia="lt-LT"/>
        </w:rPr>
        <w:t xml:space="preserve">Nr. 465 </w:t>
      </w:r>
      <w:r w:rsidRPr="00265DE6">
        <w:rPr>
          <w:rFonts w:ascii="Times New Roman" w:eastAsia="Times New Roman" w:hAnsi="Times New Roman" w:cs="Times New Roman"/>
          <w:bCs/>
          <w:color w:val="000000"/>
          <w:sz w:val="20"/>
          <w:szCs w:val="20"/>
          <w:lang w:eastAsia="lt-LT"/>
        </w:rPr>
        <w:t>Dėl Lietuvos Respublikos Seimo nutarimo „Dėl visuomeninių teisėjų (tarėjų) instituto teismuose koncepcijos patvirtinimo“ projekto pateikimo Lietuvos Respublikos Seimui.</w:t>
      </w:r>
    </w:p>
  </w:footnote>
  <w:footnote w:id="19">
    <w:p w:rsidR="00C11C04" w:rsidRPr="00E82544" w:rsidRDefault="00C11C04" w:rsidP="00C11C04">
      <w:pPr>
        <w:pStyle w:val="FootnoteText"/>
      </w:pPr>
      <w:r w:rsidRPr="00E82544">
        <w:rPr>
          <w:rStyle w:val="FootnoteReference"/>
        </w:rPr>
        <w:footnoteRef/>
      </w:r>
      <w:r w:rsidRPr="00E82544">
        <w:t xml:space="preserve"> </w:t>
      </w:r>
      <w:r w:rsidRPr="00E82544">
        <w:rPr>
          <w:shd w:val="clear" w:color="auto" w:fill="FFFFFF"/>
        </w:rPr>
        <w:t>Pvz.: Konstitucinio Teismo 2006 m. rugsėjo 21 d., 2012 m. rugsėjo 25 d., 2012 m. gruodžio 19 d. nutarimai, kt.</w:t>
      </w:r>
    </w:p>
  </w:footnote>
  <w:footnote w:id="20">
    <w:p w:rsidR="00F969C3" w:rsidRPr="00FA5A95" w:rsidRDefault="00F969C3" w:rsidP="00F969C3">
      <w:pPr>
        <w:pStyle w:val="FootnoteText"/>
      </w:pPr>
      <w:r w:rsidRPr="00FA5A95">
        <w:rPr>
          <w:rStyle w:val="FootnoteReference"/>
        </w:rPr>
        <w:footnoteRef/>
      </w:r>
      <w:r w:rsidRPr="00FA5A95">
        <w:t xml:space="preserve"> </w:t>
      </w:r>
      <w:r w:rsidRPr="00FA5A95">
        <w:rPr>
          <w:rFonts w:cs="Times New Roman"/>
          <w:shd w:val="clear" w:color="auto" w:fill="FFFFFF"/>
        </w:rPr>
        <w:t>Lietuvos vyriausiojo administracinio teismo 2007-07-05</w:t>
      </w:r>
      <w:bookmarkStart w:id="13" w:name="n4_61"/>
      <w:bookmarkEnd w:id="13"/>
      <w:r w:rsidRPr="00FA5A95">
        <w:rPr>
          <w:rFonts w:cs="Times New Roman"/>
          <w:shd w:val="clear" w:color="auto" w:fill="FFFFFF"/>
        </w:rPr>
        <w:t xml:space="preserve"> nutartis</w:t>
      </w:r>
      <w:bookmarkStart w:id="14" w:name="pn4_61"/>
      <w:bookmarkEnd w:id="14"/>
      <w:r w:rsidRPr="00FA5A95">
        <w:rPr>
          <w:rFonts w:cs="Times New Roman"/>
          <w:shd w:val="clear" w:color="auto" w:fill="FFFFFF"/>
        </w:rPr>
        <w:t> administracinėje byloje </w:t>
      </w:r>
      <w:bookmarkStart w:id="15" w:name="n4_62"/>
      <w:bookmarkEnd w:id="15"/>
      <w:r w:rsidRPr="00FA5A95">
        <w:rPr>
          <w:rFonts w:cs="Times New Roman"/>
          <w:shd w:val="clear" w:color="auto" w:fill="FFFFFF"/>
        </w:rPr>
        <w:t>Nr. A</w:t>
      </w:r>
      <w:bookmarkStart w:id="16" w:name="pn4_62"/>
      <w:bookmarkEnd w:id="16"/>
      <w:r w:rsidRPr="00FA5A95">
        <w:rPr>
          <w:rFonts w:cs="Times New Roman"/>
          <w:shd w:val="clear" w:color="auto" w:fill="FFFFFF"/>
        </w:rPr>
        <w:t>17-773/2007, 2011-04-19 nutartis administracinėje byloje Nr. A143-46/2011, kt.</w:t>
      </w:r>
    </w:p>
  </w:footnote>
  <w:footnote w:id="21">
    <w:p w:rsidR="00D44D64" w:rsidRPr="006F77D1" w:rsidRDefault="00D44D64" w:rsidP="006F77D1">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265DE6">
        <w:rPr>
          <w:rStyle w:val="FootnoteReference"/>
          <w:rFonts w:ascii="Times New Roman" w:hAnsi="Times New Roman" w:cs="Times New Roman"/>
          <w:sz w:val="20"/>
          <w:szCs w:val="20"/>
        </w:rPr>
        <w:footnoteRef/>
      </w:r>
      <w:r w:rsidRPr="00265DE6">
        <w:rPr>
          <w:rFonts w:ascii="Times New Roman" w:hAnsi="Times New Roman" w:cs="Times New Roman"/>
          <w:sz w:val="20"/>
          <w:szCs w:val="20"/>
        </w:rPr>
        <w:t xml:space="preserve"> </w:t>
      </w:r>
      <w:r w:rsidRPr="00265DE6">
        <w:rPr>
          <w:rFonts w:ascii="Times New Roman" w:eastAsia="Times New Roman" w:hAnsi="Times New Roman" w:cs="Times New Roman"/>
          <w:color w:val="000000"/>
          <w:sz w:val="20"/>
          <w:szCs w:val="20"/>
          <w:lang w:eastAsia="lt-LT"/>
        </w:rPr>
        <w:t xml:space="preserve">Lietuvos Respublikos Vyriausybės 2016 m. gegužės 11 d. </w:t>
      </w:r>
      <w:r w:rsidRPr="00265DE6">
        <w:rPr>
          <w:rFonts w:ascii="Times New Roman" w:eastAsia="Times New Roman" w:hAnsi="Times New Roman" w:cs="Times New Roman"/>
          <w:bCs/>
          <w:color w:val="000000"/>
          <w:sz w:val="20"/>
          <w:szCs w:val="20"/>
          <w:lang w:eastAsia="lt-LT"/>
        </w:rPr>
        <w:t xml:space="preserve">nutarimas </w:t>
      </w:r>
      <w:r w:rsidRPr="00265DE6">
        <w:rPr>
          <w:rFonts w:ascii="Times New Roman" w:eastAsia="Times New Roman" w:hAnsi="Times New Roman" w:cs="Times New Roman"/>
          <w:color w:val="000000"/>
          <w:sz w:val="20"/>
          <w:szCs w:val="20"/>
          <w:lang w:eastAsia="lt-LT"/>
        </w:rPr>
        <w:t xml:space="preserve">Nr. 465 </w:t>
      </w:r>
      <w:r w:rsidRPr="00265DE6">
        <w:rPr>
          <w:rFonts w:ascii="Times New Roman" w:eastAsia="Times New Roman" w:hAnsi="Times New Roman" w:cs="Times New Roman"/>
          <w:bCs/>
          <w:color w:val="000000"/>
          <w:sz w:val="20"/>
          <w:szCs w:val="20"/>
          <w:lang w:eastAsia="lt-LT"/>
        </w:rPr>
        <w:t>Dėl Lietuvos Respublikos Seimo nutarimo „Dėl visuomeninių teisėjų (tarėjų) instituto teismuose koncepcijos patvirtinimo“ projekto pateikimo Lietuvos Respublikos Seimui.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2E13"/>
    <w:multiLevelType w:val="multilevel"/>
    <w:tmpl w:val="7D661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C23ABF"/>
    <w:multiLevelType w:val="multilevel"/>
    <w:tmpl w:val="04D25A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CE7E3E"/>
    <w:multiLevelType w:val="multilevel"/>
    <w:tmpl w:val="C67ABA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69"/>
    <w:rsid w:val="00012B63"/>
    <w:rsid w:val="00013A56"/>
    <w:rsid w:val="00026D75"/>
    <w:rsid w:val="00045408"/>
    <w:rsid w:val="00051FDB"/>
    <w:rsid w:val="00063247"/>
    <w:rsid w:val="00075019"/>
    <w:rsid w:val="00080690"/>
    <w:rsid w:val="000821F3"/>
    <w:rsid w:val="000841C2"/>
    <w:rsid w:val="00095DB6"/>
    <w:rsid w:val="000B014A"/>
    <w:rsid w:val="000C218B"/>
    <w:rsid w:val="000C74E2"/>
    <w:rsid w:val="000D4D18"/>
    <w:rsid w:val="000D50D1"/>
    <w:rsid w:val="000F39C1"/>
    <w:rsid w:val="00110487"/>
    <w:rsid w:val="0011602B"/>
    <w:rsid w:val="00121EFE"/>
    <w:rsid w:val="00137781"/>
    <w:rsid w:val="0014056E"/>
    <w:rsid w:val="001413A7"/>
    <w:rsid w:val="00151091"/>
    <w:rsid w:val="00153C3F"/>
    <w:rsid w:val="00154B7A"/>
    <w:rsid w:val="00161EB8"/>
    <w:rsid w:val="0016255F"/>
    <w:rsid w:val="00164BA4"/>
    <w:rsid w:val="00165DF7"/>
    <w:rsid w:val="001701C9"/>
    <w:rsid w:val="001702CC"/>
    <w:rsid w:val="00191A53"/>
    <w:rsid w:val="00192896"/>
    <w:rsid w:val="001A7C75"/>
    <w:rsid w:val="001C1D02"/>
    <w:rsid w:val="001E2259"/>
    <w:rsid w:val="001E448A"/>
    <w:rsid w:val="001E6BCE"/>
    <w:rsid w:val="001F736B"/>
    <w:rsid w:val="0020270C"/>
    <w:rsid w:val="00204E9B"/>
    <w:rsid w:val="00222187"/>
    <w:rsid w:val="002376E7"/>
    <w:rsid w:val="002458AB"/>
    <w:rsid w:val="002464D4"/>
    <w:rsid w:val="00265DE6"/>
    <w:rsid w:val="00272E00"/>
    <w:rsid w:val="00272E04"/>
    <w:rsid w:val="00276E1C"/>
    <w:rsid w:val="00277FDE"/>
    <w:rsid w:val="00296458"/>
    <w:rsid w:val="002A33A5"/>
    <w:rsid w:val="002D3813"/>
    <w:rsid w:val="002D7048"/>
    <w:rsid w:val="002E7BBE"/>
    <w:rsid w:val="002F1959"/>
    <w:rsid w:val="002F758F"/>
    <w:rsid w:val="003107A5"/>
    <w:rsid w:val="003161EF"/>
    <w:rsid w:val="00317500"/>
    <w:rsid w:val="003271A2"/>
    <w:rsid w:val="00327AB1"/>
    <w:rsid w:val="00333DF8"/>
    <w:rsid w:val="00355966"/>
    <w:rsid w:val="00387BE3"/>
    <w:rsid w:val="003A199C"/>
    <w:rsid w:val="003E6A63"/>
    <w:rsid w:val="003F1FAE"/>
    <w:rsid w:val="00412FFD"/>
    <w:rsid w:val="004148B8"/>
    <w:rsid w:val="004232FB"/>
    <w:rsid w:val="004370BB"/>
    <w:rsid w:val="004471DB"/>
    <w:rsid w:val="00490525"/>
    <w:rsid w:val="00497F5A"/>
    <w:rsid w:val="004A40FE"/>
    <w:rsid w:val="004A4D32"/>
    <w:rsid w:val="004B2458"/>
    <w:rsid w:val="004B303D"/>
    <w:rsid w:val="004C0F22"/>
    <w:rsid w:val="004D424F"/>
    <w:rsid w:val="004E1B0C"/>
    <w:rsid w:val="004F7B55"/>
    <w:rsid w:val="00501951"/>
    <w:rsid w:val="00501BDC"/>
    <w:rsid w:val="00510D2E"/>
    <w:rsid w:val="00524560"/>
    <w:rsid w:val="00530663"/>
    <w:rsid w:val="00533B51"/>
    <w:rsid w:val="00547CB8"/>
    <w:rsid w:val="00557428"/>
    <w:rsid w:val="00582D8C"/>
    <w:rsid w:val="00587155"/>
    <w:rsid w:val="005A3790"/>
    <w:rsid w:val="005B2DF5"/>
    <w:rsid w:val="005B7DB1"/>
    <w:rsid w:val="005C27E6"/>
    <w:rsid w:val="005C77C7"/>
    <w:rsid w:val="005C7C37"/>
    <w:rsid w:val="005D53E6"/>
    <w:rsid w:val="005D5627"/>
    <w:rsid w:val="005E7E7C"/>
    <w:rsid w:val="005F200A"/>
    <w:rsid w:val="005F5A63"/>
    <w:rsid w:val="00620AA6"/>
    <w:rsid w:val="00620C6B"/>
    <w:rsid w:val="00620DBE"/>
    <w:rsid w:val="0063088C"/>
    <w:rsid w:val="00650BB6"/>
    <w:rsid w:val="006620CC"/>
    <w:rsid w:val="006856F1"/>
    <w:rsid w:val="0069053D"/>
    <w:rsid w:val="006B7B84"/>
    <w:rsid w:val="006C09EB"/>
    <w:rsid w:val="006D61D9"/>
    <w:rsid w:val="006E349F"/>
    <w:rsid w:val="006E5245"/>
    <w:rsid w:val="006F0187"/>
    <w:rsid w:val="006F1AB8"/>
    <w:rsid w:val="006F1AE9"/>
    <w:rsid w:val="006F77D1"/>
    <w:rsid w:val="00721884"/>
    <w:rsid w:val="007363E7"/>
    <w:rsid w:val="00762478"/>
    <w:rsid w:val="007707FC"/>
    <w:rsid w:val="00781CB0"/>
    <w:rsid w:val="00785F31"/>
    <w:rsid w:val="007A290F"/>
    <w:rsid w:val="007B167E"/>
    <w:rsid w:val="007B4C0B"/>
    <w:rsid w:val="007E6D39"/>
    <w:rsid w:val="00811526"/>
    <w:rsid w:val="008176F4"/>
    <w:rsid w:val="0082181C"/>
    <w:rsid w:val="00825A64"/>
    <w:rsid w:val="00833794"/>
    <w:rsid w:val="00833BAB"/>
    <w:rsid w:val="00853093"/>
    <w:rsid w:val="00863DD3"/>
    <w:rsid w:val="00866548"/>
    <w:rsid w:val="00886000"/>
    <w:rsid w:val="00890081"/>
    <w:rsid w:val="008A515B"/>
    <w:rsid w:val="008C2D07"/>
    <w:rsid w:val="008C30D2"/>
    <w:rsid w:val="008C3CE5"/>
    <w:rsid w:val="008C44B9"/>
    <w:rsid w:val="008E0906"/>
    <w:rsid w:val="008E7688"/>
    <w:rsid w:val="008F3A69"/>
    <w:rsid w:val="008F3A75"/>
    <w:rsid w:val="008F61D9"/>
    <w:rsid w:val="00903E6C"/>
    <w:rsid w:val="00914E30"/>
    <w:rsid w:val="00916ACA"/>
    <w:rsid w:val="009227DF"/>
    <w:rsid w:val="0096242C"/>
    <w:rsid w:val="00967D02"/>
    <w:rsid w:val="009749AF"/>
    <w:rsid w:val="009A2127"/>
    <w:rsid w:val="009A2385"/>
    <w:rsid w:val="009A344F"/>
    <w:rsid w:val="009B20C2"/>
    <w:rsid w:val="009B7F70"/>
    <w:rsid w:val="009E4559"/>
    <w:rsid w:val="009E4687"/>
    <w:rsid w:val="009F2BA9"/>
    <w:rsid w:val="009F51BF"/>
    <w:rsid w:val="009F6690"/>
    <w:rsid w:val="00A047BD"/>
    <w:rsid w:val="00A2649F"/>
    <w:rsid w:val="00A33684"/>
    <w:rsid w:val="00A33B50"/>
    <w:rsid w:val="00A37929"/>
    <w:rsid w:val="00A45A8B"/>
    <w:rsid w:val="00A509F4"/>
    <w:rsid w:val="00A51EE6"/>
    <w:rsid w:val="00A568EC"/>
    <w:rsid w:val="00A571A3"/>
    <w:rsid w:val="00A81AE5"/>
    <w:rsid w:val="00A82B06"/>
    <w:rsid w:val="00A95CE7"/>
    <w:rsid w:val="00A9727F"/>
    <w:rsid w:val="00AA393B"/>
    <w:rsid w:val="00AB051B"/>
    <w:rsid w:val="00AB5B0C"/>
    <w:rsid w:val="00AE2503"/>
    <w:rsid w:val="00AE270F"/>
    <w:rsid w:val="00AF0741"/>
    <w:rsid w:val="00B03502"/>
    <w:rsid w:val="00B15465"/>
    <w:rsid w:val="00B164F8"/>
    <w:rsid w:val="00B1684A"/>
    <w:rsid w:val="00B22DD4"/>
    <w:rsid w:val="00B261C2"/>
    <w:rsid w:val="00B3110C"/>
    <w:rsid w:val="00B41985"/>
    <w:rsid w:val="00B54E7C"/>
    <w:rsid w:val="00B639D5"/>
    <w:rsid w:val="00B70116"/>
    <w:rsid w:val="00B92BEB"/>
    <w:rsid w:val="00BA00CA"/>
    <w:rsid w:val="00BA3648"/>
    <w:rsid w:val="00BA3CA2"/>
    <w:rsid w:val="00BA66AB"/>
    <w:rsid w:val="00BA7F32"/>
    <w:rsid w:val="00BC7EC3"/>
    <w:rsid w:val="00BD6052"/>
    <w:rsid w:val="00BF6CA6"/>
    <w:rsid w:val="00C01CA2"/>
    <w:rsid w:val="00C06E42"/>
    <w:rsid w:val="00C11C04"/>
    <w:rsid w:val="00C25FED"/>
    <w:rsid w:val="00C31E83"/>
    <w:rsid w:val="00C325D4"/>
    <w:rsid w:val="00C331E6"/>
    <w:rsid w:val="00C4335A"/>
    <w:rsid w:val="00C439E9"/>
    <w:rsid w:val="00C62B84"/>
    <w:rsid w:val="00C63DA4"/>
    <w:rsid w:val="00C72483"/>
    <w:rsid w:val="00C772AE"/>
    <w:rsid w:val="00C84F63"/>
    <w:rsid w:val="00CA37C4"/>
    <w:rsid w:val="00CA56BD"/>
    <w:rsid w:val="00CA7D7D"/>
    <w:rsid w:val="00CB1AFB"/>
    <w:rsid w:val="00CB292B"/>
    <w:rsid w:val="00CB5094"/>
    <w:rsid w:val="00CB6129"/>
    <w:rsid w:val="00CD14F7"/>
    <w:rsid w:val="00CF2F39"/>
    <w:rsid w:val="00CF5E98"/>
    <w:rsid w:val="00D16241"/>
    <w:rsid w:val="00D23F97"/>
    <w:rsid w:val="00D25B92"/>
    <w:rsid w:val="00D44D64"/>
    <w:rsid w:val="00D749CA"/>
    <w:rsid w:val="00D822EF"/>
    <w:rsid w:val="00D864B8"/>
    <w:rsid w:val="00DA7723"/>
    <w:rsid w:val="00DB4894"/>
    <w:rsid w:val="00DB63A2"/>
    <w:rsid w:val="00DB7FA6"/>
    <w:rsid w:val="00DC1712"/>
    <w:rsid w:val="00DD7FC6"/>
    <w:rsid w:val="00DE328B"/>
    <w:rsid w:val="00E00E4F"/>
    <w:rsid w:val="00E0359A"/>
    <w:rsid w:val="00E15642"/>
    <w:rsid w:val="00E25AA6"/>
    <w:rsid w:val="00E31073"/>
    <w:rsid w:val="00E52063"/>
    <w:rsid w:val="00E529DB"/>
    <w:rsid w:val="00E5528B"/>
    <w:rsid w:val="00E576FC"/>
    <w:rsid w:val="00E76512"/>
    <w:rsid w:val="00E8228F"/>
    <w:rsid w:val="00E82544"/>
    <w:rsid w:val="00E86ACC"/>
    <w:rsid w:val="00E914EC"/>
    <w:rsid w:val="00E9337B"/>
    <w:rsid w:val="00EA261F"/>
    <w:rsid w:val="00EA66EC"/>
    <w:rsid w:val="00EB6200"/>
    <w:rsid w:val="00EC22C5"/>
    <w:rsid w:val="00ED1634"/>
    <w:rsid w:val="00ED3BC1"/>
    <w:rsid w:val="00EE4A2E"/>
    <w:rsid w:val="00EE5FC8"/>
    <w:rsid w:val="00EF477F"/>
    <w:rsid w:val="00EF6AD6"/>
    <w:rsid w:val="00F01970"/>
    <w:rsid w:val="00F045E2"/>
    <w:rsid w:val="00F12C6E"/>
    <w:rsid w:val="00F3016E"/>
    <w:rsid w:val="00F35D94"/>
    <w:rsid w:val="00F459F0"/>
    <w:rsid w:val="00F520F6"/>
    <w:rsid w:val="00F83565"/>
    <w:rsid w:val="00F87C34"/>
    <w:rsid w:val="00F91AB7"/>
    <w:rsid w:val="00F969C3"/>
    <w:rsid w:val="00FA1F37"/>
    <w:rsid w:val="00FA2BA0"/>
    <w:rsid w:val="00FA5A95"/>
    <w:rsid w:val="00FB0E51"/>
    <w:rsid w:val="00FD5292"/>
    <w:rsid w:val="00FD7AC1"/>
    <w:rsid w:val="00FE6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2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01970"/>
    <w:pPr>
      <w:suppressAutoHyphens/>
      <w:spacing w:after="0" w:line="240" w:lineRule="auto"/>
      <w:jc w:val="both"/>
    </w:pPr>
    <w:rPr>
      <w:rFonts w:ascii="Times New Roman" w:eastAsia="Times New Roman" w:hAnsi="Times New Roman" w:cs="Calibri"/>
      <w:sz w:val="20"/>
      <w:szCs w:val="20"/>
      <w:lang w:eastAsia="ar-SA"/>
    </w:rPr>
  </w:style>
  <w:style w:type="character" w:customStyle="1" w:styleId="FootnoteTextChar">
    <w:name w:val="Footnote Text Char"/>
    <w:basedOn w:val="DefaultParagraphFont"/>
    <w:link w:val="FootnoteText"/>
    <w:rsid w:val="00F01970"/>
    <w:rPr>
      <w:rFonts w:ascii="Times New Roman" w:eastAsia="Times New Roman" w:hAnsi="Times New Roman" w:cs="Calibri"/>
      <w:sz w:val="20"/>
      <w:szCs w:val="20"/>
      <w:lang w:eastAsia="ar-SA"/>
    </w:rPr>
  </w:style>
  <w:style w:type="character" w:styleId="FootnoteReference">
    <w:name w:val="footnote reference"/>
    <w:basedOn w:val="DefaultParagraphFont"/>
    <w:rsid w:val="00F01970"/>
    <w:rPr>
      <w:vertAlign w:val="superscript"/>
    </w:rPr>
  </w:style>
  <w:style w:type="character" w:customStyle="1" w:styleId="apple-converted-space">
    <w:name w:val="apple-converted-space"/>
    <w:basedOn w:val="DefaultParagraphFont"/>
    <w:rsid w:val="00F01970"/>
  </w:style>
  <w:style w:type="paragraph" w:styleId="NormalWeb">
    <w:name w:val="Normal (Web)"/>
    <w:basedOn w:val="Normal"/>
    <w:uiPriority w:val="99"/>
    <w:rsid w:val="001625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6255F"/>
    <w:rPr>
      <w:color w:val="0000FF"/>
      <w:u w:val="single"/>
    </w:rPr>
  </w:style>
  <w:style w:type="character" w:customStyle="1" w:styleId="pmark">
    <w:name w:val="pmark"/>
    <w:basedOn w:val="DefaultParagraphFont"/>
    <w:rsid w:val="00AE2503"/>
  </w:style>
  <w:style w:type="character" w:customStyle="1" w:styleId="Heading1Char">
    <w:name w:val="Heading 1 Char"/>
    <w:basedOn w:val="DefaultParagraphFont"/>
    <w:link w:val="Heading1"/>
    <w:uiPriority w:val="9"/>
    <w:rsid w:val="00AE2503"/>
    <w:rPr>
      <w:rFonts w:ascii="Times New Roman" w:eastAsia="Times New Roman" w:hAnsi="Times New Roman" w:cs="Times New Roman"/>
      <w:b/>
      <w:bCs/>
      <w:kern w:val="36"/>
      <w:sz w:val="48"/>
      <w:szCs w:val="48"/>
      <w:lang w:eastAsia="lt-LT"/>
    </w:rPr>
  </w:style>
  <w:style w:type="character" w:styleId="Emphasis">
    <w:name w:val="Emphasis"/>
    <w:basedOn w:val="DefaultParagraphFont"/>
    <w:uiPriority w:val="20"/>
    <w:qFormat/>
    <w:rsid w:val="00781CB0"/>
    <w:rPr>
      <w:i/>
      <w:iCs/>
    </w:rPr>
  </w:style>
  <w:style w:type="character" w:styleId="Strong">
    <w:name w:val="Strong"/>
    <w:basedOn w:val="DefaultParagraphFont"/>
    <w:uiPriority w:val="22"/>
    <w:qFormat/>
    <w:rsid w:val="00B54E7C"/>
    <w:rPr>
      <w:b/>
      <w:bCs/>
    </w:rPr>
  </w:style>
  <w:style w:type="paragraph" w:styleId="Header">
    <w:name w:val="header"/>
    <w:basedOn w:val="Normal"/>
    <w:link w:val="HeaderChar"/>
    <w:uiPriority w:val="99"/>
    <w:unhideWhenUsed/>
    <w:rsid w:val="00A568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68EC"/>
  </w:style>
  <w:style w:type="paragraph" w:styleId="Footer">
    <w:name w:val="footer"/>
    <w:basedOn w:val="Normal"/>
    <w:link w:val="FooterChar"/>
    <w:uiPriority w:val="99"/>
    <w:unhideWhenUsed/>
    <w:rsid w:val="00A568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68EC"/>
  </w:style>
  <w:style w:type="paragraph" w:styleId="BalloonText">
    <w:name w:val="Balloon Text"/>
    <w:basedOn w:val="Normal"/>
    <w:link w:val="BalloonTextChar"/>
    <w:uiPriority w:val="99"/>
    <w:semiHidden/>
    <w:unhideWhenUsed/>
    <w:rsid w:val="00497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F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2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01970"/>
    <w:pPr>
      <w:suppressAutoHyphens/>
      <w:spacing w:after="0" w:line="240" w:lineRule="auto"/>
      <w:jc w:val="both"/>
    </w:pPr>
    <w:rPr>
      <w:rFonts w:ascii="Times New Roman" w:eastAsia="Times New Roman" w:hAnsi="Times New Roman" w:cs="Calibri"/>
      <w:sz w:val="20"/>
      <w:szCs w:val="20"/>
      <w:lang w:eastAsia="ar-SA"/>
    </w:rPr>
  </w:style>
  <w:style w:type="character" w:customStyle="1" w:styleId="FootnoteTextChar">
    <w:name w:val="Footnote Text Char"/>
    <w:basedOn w:val="DefaultParagraphFont"/>
    <w:link w:val="FootnoteText"/>
    <w:rsid w:val="00F01970"/>
    <w:rPr>
      <w:rFonts w:ascii="Times New Roman" w:eastAsia="Times New Roman" w:hAnsi="Times New Roman" w:cs="Calibri"/>
      <w:sz w:val="20"/>
      <w:szCs w:val="20"/>
      <w:lang w:eastAsia="ar-SA"/>
    </w:rPr>
  </w:style>
  <w:style w:type="character" w:styleId="FootnoteReference">
    <w:name w:val="footnote reference"/>
    <w:basedOn w:val="DefaultParagraphFont"/>
    <w:rsid w:val="00F01970"/>
    <w:rPr>
      <w:vertAlign w:val="superscript"/>
    </w:rPr>
  </w:style>
  <w:style w:type="character" w:customStyle="1" w:styleId="apple-converted-space">
    <w:name w:val="apple-converted-space"/>
    <w:basedOn w:val="DefaultParagraphFont"/>
    <w:rsid w:val="00F01970"/>
  </w:style>
  <w:style w:type="paragraph" w:styleId="NormalWeb">
    <w:name w:val="Normal (Web)"/>
    <w:basedOn w:val="Normal"/>
    <w:uiPriority w:val="99"/>
    <w:rsid w:val="001625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6255F"/>
    <w:rPr>
      <w:color w:val="0000FF"/>
      <w:u w:val="single"/>
    </w:rPr>
  </w:style>
  <w:style w:type="character" w:customStyle="1" w:styleId="pmark">
    <w:name w:val="pmark"/>
    <w:basedOn w:val="DefaultParagraphFont"/>
    <w:rsid w:val="00AE2503"/>
  </w:style>
  <w:style w:type="character" w:customStyle="1" w:styleId="Heading1Char">
    <w:name w:val="Heading 1 Char"/>
    <w:basedOn w:val="DefaultParagraphFont"/>
    <w:link w:val="Heading1"/>
    <w:uiPriority w:val="9"/>
    <w:rsid w:val="00AE2503"/>
    <w:rPr>
      <w:rFonts w:ascii="Times New Roman" w:eastAsia="Times New Roman" w:hAnsi="Times New Roman" w:cs="Times New Roman"/>
      <w:b/>
      <w:bCs/>
      <w:kern w:val="36"/>
      <w:sz w:val="48"/>
      <w:szCs w:val="48"/>
      <w:lang w:eastAsia="lt-LT"/>
    </w:rPr>
  </w:style>
  <w:style w:type="character" w:styleId="Emphasis">
    <w:name w:val="Emphasis"/>
    <w:basedOn w:val="DefaultParagraphFont"/>
    <w:uiPriority w:val="20"/>
    <w:qFormat/>
    <w:rsid w:val="00781CB0"/>
    <w:rPr>
      <w:i/>
      <w:iCs/>
    </w:rPr>
  </w:style>
  <w:style w:type="character" w:styleId="Strong">
    <w:name w:val="Strong"/>
    <w:basedOn w:val="DefaultParagraphFont"/>
    <w:uiPriority w:val="22"/>
    <w:qFormat/>
    <w:rsid w:val="00B54E7C"/>
    <w:rPr>
      <w:b/>
      <w:bCs/>
    </w:rPr>
  </w:style>
  <w:style w:type="paragraph" w:styleId="Header">
    <w:name w:val="header"/>
    <w:basedOn w:val="Normal"/>
    <w:link w:val="HeaderChar"/>
    <w:uiPriority w:val="99"/>
    <w:unhideWhenUsed/>
    <w:rsid w:val="00A568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68EC"/>
  </w:style>
  <w:style w:type="paragraph" w:styleId="Footer">
    <w:name w:val="footer"/>
    <w:basedOn w:val="Normal"/>
    <w:link w:val="FooterChar"/>
    <w:uiPriority w:val="99"/>
    <w:unhideWhenUsed/>
    <w:rsid w:val="00A568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68EC"/>
  </w:style>
  <w:style w:type="paragraph" w:styleId="BalloonText">
    <w:name w:val="Balloon Text"/>
    <w:basedOn w:val="Normal"/>
    <w:link w:val="BalloonTextChar"/>
    <w:uiPriority w:val="99"/>
    <w:semiHidden/>
    <w:unhideWhenUsed/>
    <w:rsid w:val="00497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F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0398">
      <w:bodyDiv w:val="1"/>
      <w:marLeft w:val="0"/>
      <w:marRight w:val="0"/>
      <w:marTop w:val="0"/>
      <w:marBottom w:val="0"/>
      <w:divBdr>
        <w:top w:val="none" w:sz="0" w:space="0" w:color="auto"/>
        <w:left w:val="none" w:sz="0" w:space="0" w:color="auto"/>
        <w:bottom w:val="none" w:sz="0" w:space="0" w:color="auto"/>
        <w:right w:val="none" w:sz="0" w:space="0" w:color="auto"/>
      </w:divBdr>
    </w:div>
    <w:div w:id="111870829">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546454157">
      <w:bodyDiv w:val="1"/>
      <w:marLeft w:val="0"/>
      <w:marRight w:val="0"/>
      <w:marTop w:val="0"/>
      <w:marBottom w:val="0"/>
      <w:divBdr>
        <w:top w:val="none" w:sz="0" w:space="0" w:color="auto"/>
        <w:left w:val="none" w:sz="0" w:space="0" w:color="auto"/>
        <w:bottom w:val="none" w:sz="0" w:space="0" w:color="auto"/>
        <w:right w:val="none" w:sz="0" w:space="0" w:color="auto"/>
      </w:divBdr>
    </w:div>
    <w:div w:id="611594922">
      <w:bodyDiv w:val="1"/>
      <w:marLeft w:val="0"/>
      <w:marRight w:val="0"/>
      <w:marTop w:val="0"/>
      <w:marBottom w:val="0"/>
      <w:divBdr>
        <w:top w:val="none" w:sz="0" w:space="0" w:color="auto"/>
        <w:left w:val="none" w:sz="0" w:space="0" w:color="auto"/>
        <w:bottom w:val="none" w:sz="0" w:space="0" w:color="auto"/>
        <w:right w:val="none" w:sz="0" w:space="0" w:color="auto"/>
      </w:divBdr>
    </w:div>
    <w:div w:id="973098226">
      <w:bodyDiv w:val="1"/>
      <w:marLeft w:val="0"/>
      <w:marRight w:val="0"/>
      <w:marTop w:val="0"/>
      <w:marBottom w:val="0"/>
      <w:divBdr>
        <w:top w:val="none" w:sz="0" w:space="0" w:color="auto"/>
        <w:left w:val="none" w:sz="0" w:space="0" w:color="auto"/>
        <w:bottom w:val="none" w:sz="0" w:space="0" w:color="auto"/>
        <w:right w:val="none" w:sz="0" w:space="0" w:color="auto"/>
      </w:divBdr>
    </w:div>
    <w:div w:id="1080063177">
      <w:bodyDiv w:val="1"/>
      <w:marLeft w:val="0"/>
      <w:marRight w:val="0"/>
      <w:marTop w:val="0"/>
      <w:marBottom w:val="0"/>
      <w:divBdr>
        <w:top w:val="none" w:sz="0" w:space="0" w:color="auto"/>
        <w:left w:val="none" w:sz="0" w:space="0" w:color="auto"/>
        <w:bottom w:val="none" w:sz="0" w:space="0" w:color="auto"/>
        <w:right w:val="none" w:sz="0" w:space="0" w:color="auto"/>
      </w:divBdr>
    </w:div>
    <w:div w:id="1134636806">
      <w:bodyDiv w:val="1"/>
      <w:marLeft w:val="0"/>
      <w:marRight w:val="0"/>
      <w:marTop w:val="0"/>
      <w:marBottom w:val="0"/>
      <w:divBdr>
        <w:top w:val="none" w:sz="0" w:space="0" w:color="auto"/>
        <w:left w:val="none" w:sz="0" w:space="0" w:color="auto"/>
        <w:bottom w:val="none" w:sz="0" w:space="0" w:color="auto"/>
        <w:right w:val="none" w:sz="0" w:space="0" w:color="auto"/>
      </w:divBdr>
    </w:div>
    <w:div w:id="1196653733">
      <w:bodyDiv w:val="1"/>
      <w:marLeft w:val="0"/>
      <w:marRight w:val="0"/>
      <w:marTop w:val="0"/>
      <w:marBottom w:val="0"/>
      <w:divBdr>
        <w:top w:val="none" w:sz="0" w:space="0" w:color="auto"/>
        <w:left w:val="none" w:sz="0" w:space="0" w:color="auto"/>
        <w:bottom w:val="none" w:sz="0" w:space="0" w:color="auto"/>
        <w:right w:val="none" w:sz="0" w:space="0" w:color="auto"/>
      </w:divBdr>
    </w:div>
    <w:div w:id="1207450890">
      <w:bodyDiv w:val="1"/>
      <w:marLeft w:val="0"/>
      <w:marRight w:val="0"/>
      <w:marTop w:val="0"/>
      <w:marBottom w:val="0"/>
      <w:divBdr>
        <w:top w:val="none" w:sz="0" w:space="0" w:color="auto"/>
        <w:left w:val="none" w:sz="0" w:space="0" w:color="auto"/>
        <w:bottom w:val="none" w:sz="0" w:space="0" w:color="auto"/>
        <w:right w:val="none" w:sz="0" w:space="0" w:color="auto"/>
      </w:divBdr>
    </w:div>
    <w:div w:id="1365062233">
      <w:bodyDiv w:val="1"/>
      <w:marLeft w:val="0"/>
      <w:marRight w:val="0"/>
      <w:marTop w:val="0"/>
      <w:marBottom w:val="0"/>
      <w:divBdr>
        <w:top w:val="none" w:sz="0" w:space="0" w:color="auto"/>
        <w:left w:val="none" w:sz="0" w:space="0" w:color="auto"/>
        <w:bottom w:val="none" w:sz="0" w:space="0" w:color="auto"/>
        <w:right w:val="none" w:sz="0" w:space="0" w:color="auto"/>
      </w:divBdr>
    </w:div>
    <w:div w:id="1588733109">
      <w:bodyDiv w:val="1"/>
      <w:marLeft w:val="0"/>
      <w:marRight w:val="0"/>
      <w:marTop w:val="0"/>
      <w:marBottom w:val="0"/>
      <w:divBdr>
        <w:top w:val="none" w:sz="0" w:space="0" w:color="auto"/>
        <w:left w:val="none" w:sz="0" w:space="0" w:color="auto"/>
        <w:bottom w:val="none" w:sz="0" w:space="0" w:color="auto"/>
        <w:right w:val="none" w:sz="0" w:space="0" w:color="auto"/>
      </w:divBdr>
    </w:div>
    <w:div w:id="1692949124">
      <w:bodyDiv w:val="1"/>
      <w:marLeft w:val="0"/>
      <w:marRight w:val="0"/>
      <w:marTop w:val="0"/>
      <w:marBottom w:val="0"/>
      <w:divBdr>
        <w:top w:val="none" w:sz="0" w:space="0" w:color="auto"/>
        <w:left w:val="none" w:sz="0" w:space="0" w:color="auto"/>
        <w:bottom w:val="none" w:sz="0" w:space="0" w:color="auto"/>
        <w:right w:val="none" w:sz="0" w:space="0" w:color="auto"/>
      </w:divBdr>
    </w:div>
    <w:div w:id="1747998045">
      <w:bodyDiv w:val="1"/>
      <w:marLeft w:val="0"/>
      <w:marRight w:val="0"/>
      <w:marTop w:val="0"/>
      <w:marBottom w:val="0"/>
      <w:divBdr>
        <w:top w:val="none" w:sz="0" w:space="0" w:color="auto"/>
        <w:left w:val="none" w:sz="0" w:space="0" w:color="auto"/>
        <w:bottom w:val="none" w:sz="0" w:space="0" w:color="auto"/>
        <w:right w:val="none" w:sz="0" w:space="0" w:color="auto"/>
      </w:divBdr>
    </w:div>
    <w:div w:id="2000308551">
      <w:bodyDiv w:val="1"/>
      <w:marLeft w:val="0"/>
      <w:marRight w:val="0"/>
      <w:marTop w:val="0"/>
      <w:marBottom w:val="0"/>
      <w:divBdr>
        <w:top w:val="none" w:sz="0" w:space="0" w:color="auto"/>
        <w:left w:val="none" w:sz="0" w:space="0" w:color="auto"/>
        <w:bottom w:val="none" w:sz="0" w:space="0" w:color="auto"/>
        <w:right w:val="none" w:sz="0" w:space="0" w:color="auto"/>
      </w:divBdr>
    </w:div>
    <w:div w:id="2078043567">
      <w:bodyDiv w:val="1"/>
      <w:marLeft w:val="0"/>
      <w:marRight w:val="0"/>
      <w:marTop w:val="0"/>
      <w:marBottom w:val="0"/>
      <w:divBdr>
        <w:top w:val="none" w:sz="0" w:space="0" w:color="auto"/>
        <w:left w:val="none" w:sz="0" w:space="0" w:color="auto"/>
        <w:bottom w:val="none" w:sz="0" w:space="0" w:color="auto"/>
        <w:right w:val="none" w:sz="0" w:space="0" w:color="auto"/>
      </w:divBdr>
    </w:div>
    <w:div w:id="21258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06336-E52F-48C8-B1D5-FF27F218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17691</Words>
  <Characters>10084</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4-Law</cp:lastModifiedBy>
  <cp:revision>2</cp:revision>
  <cp:lastPrinted>2016-09-12T08:20:00Z</cp:lastPrinted>
  <dcterms:created xsi:type="dcterms:W3CDTF">2016-09-14T12:09:00Z</dcterms:created>
  <dcterms:modified xsi:type="dcterms:W3CDTF">2016-09-14T12:09:00Z</dcterms:modified>
</cp:coreProperties>
</file>