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35D8" w14:textId="17920BE7" w:rsidR="00BF463D" w:rsidRPr="008436E8" w:rsidRDefault="006E7FAA" w:rsidP="00BF463D">
      <w:pPr>
        <w:ind w:left="4320" w:firstLine="720"/>
        <w:jc w:val="both"/>
        <w:rPr>
          <w:lang w:val="lt-LT"/>
        </w:rPr>
      </w:pPr>
      <w:r w:rsidRPr="008436E8">
        <w:rPr>
          <w:lang w:val="lt-LT"/>
        </w:rPr>
        <w:t xml:space="preserve">Baudžiamoji byla Nr. </w:t>
      </w:r>
      <w:r w:rsidR="000514E7" w:rsidRPr="008436E8">
        <w:rPr>
          <w:rStyle w:val="blackcaption"/>
          <w:lang w:val="lt-LT"/>
        </w:rPr>
        <w:t>2K-</w:t>
      </w:r>
      <w:r w:rsidR="00426C96">
        <w:rPr>
          <w:rStyle w:val="blackcaption"/>
          <w:lang w:val="lt-LT"/>
        </w:rPr>
        <w:t>578</w:t>
      </w:r>
      <w:r w:rsidR="000514E7" w:rsidRPr="008436E8">
        <w:rPr>
          <w:rStyle w:val="blackcaption"/>
          <w:lang w:val="lt-LT"/>
        </w:rPr>
        <w:t>-1073/2026</w:t>
      </w:r>
    </w:p>
    <w:p w14:paraId="2BF5670F" w14:textId="77777777" w:rsidR="00BF463D" w:rsidRPr="008436E8" w:rsidRDefault="006E7FAA" w:rsidP="00BF463D">
      <w:pPr>
        <w:ind w:left="5040"/>
        <w:jc w:val="both"/>
        <w:rPr>
          <w:lang w:val="lt-LT"/>
        </w:rPr>
      </w:pPr>
      <w:r w:rsidRPr="008436E8">
        <w:rPr>
          <w:lang w:val="lt-LT"/>
        </w:rPr>
        <w:t xml:space="preserve">Teisminio proceso Nr. </w:t>
      </w:r>
      <w:r w:rsidR="00BF463D" w:rsidRPr="008436E8">
        <w:rPr>
          <w:lang w:val="lt-LT"/>
        </w:rPr>
        <w:t>1-01-1-25222-2025-5</w:t>
      </w:r>
    </w:p>
    <w:p w14:paraId="21FA51C4" w14:textId="77777777" w:rsidR="009C47A2" w:rsidRDefault="006E7FAA" w:rsidP="009C47A2">
      <w:pPr>
        <w:ind w:left="5040"/>
        <w:jc w:val="both"/>
        <w:rPr>
          <w:lang w:val="lt-LT"/>
        </w:rPr>
      </w:pPr>
      <w:r w:rsidRPr="008436E8">
        <w:rPr>
          <w:lang w:val="lt-LT"/>
        </w:rPr>
        <w:t>Procesinio sprendimo kategorij</w:t>
      </w:r>
      <w:r w:rsidR="000D7BC4" w:rsidRPr="008436E8">
        <w:rPr>
          <w:lang w:val="lt-LT"/>
        </w:rPr>
        <w:t>a 1.2.25.5</w:t>
      </w:r>
    </w:p>
    <w:p w14:paraId="1A0BEF17" w14:textId="5EEC154F" w:rsidR="006E7FAA" w:rsidRDefault="009C47A2" w:rsidP="009C47A2">
      <w:pPr>
        <w:ind w:left="5040"/>
        <w:jc w:val="both"/>
        <w:rPr>
          <w:lang w:val="lt-LT"/>
        </w:rPr>
      </w:pPr>
      <w:r>
        <w:rPr>
          <w:lang w:val="lt-LT"/>
        </w:rPr>
        <w:t xml:space="preserve">(S) </w:t>
      </w:r>
    </w:p>
    <w:p w14:paraId="008A8B5A" w14:textId="77777777" w:rsidR="009C47A2" w:rsidRPr="008436E8" w:rsidRDefault="009C47A2" w:rsidP="006E7FAA">
      <w:pPr>
        <w:ind w:left="5340"/>
        <w:rPr>
          <w:lang w:val="lt-LT"/>
        </w:rPr>
      </w:pPr>
    </w:p>
    <w:p w14:paraId="56DFFC80" w14:textId="25450569" w:rsidR="006E7FAA" w:rsidRPr="008436E8" w:rsidRDefault="001D00B8" w:rsidP="006E7FAA">
      <w:pPr>
        <w:jc w:val="center"/>
        <w:rPr>
          <w:lang w:val="lt-LT"/>
        </w:rPr>
      </w:pPr>
      <w:r w:rsidRPr="008436E8">
        <w:rPr>
          <w:lang w:val="lt-LT" w:eastAsia="lt-LT"/>
        </w:rPr>
        <w:object w:dxaOrig="1041" w:dyaOrig="1061" w14:anchorId="63C45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4pt" o:ole="" fillcolor="window">
            <v:imagedata r:id="rId8" o:title=""/>
          </v:shape>
          <o:OLEObject Type="Embed" ProgID="Word.Picture.8" ShapeID="_x0000_i1025" DrawAspect="Content" ObjectID="_1845712521" r:id="rId9"/>
        </w:object>
      </w:r>
    </w:p>
    <w:p w14:paraId="69E6AEB6" w14:textId="77777777" w:rsidR="006E7FAA" w:rsidRPr="008436E8" w:rsidRDefault="006E7FAA" w:rsidP="006E7FAA">
      <w:pPr>
        <w:jc w:val="center"/>
        <w:rPr>
          <w:lang w:val="lt-LT"/>
        </w:rPr>
      </w:pPr>
    </w:p>
    <w:p w14:paraId="51C971C1" w14:textId="77777777" w:rsidR="006E7FAA" w:rsidRPr="008436E8" w:rsidRDefault="006E7FAA" w:rsidP="006E7FAA">
      <w:pPr>
        <w:keepNext/>
        <w:jc w:val="center"/>
        <w:outlineLvl w:val="0"/>
        <w:rPr>
          <w:b/>
          <w:bCs/>
          <w:sz w:val="28"/>
          <w:szCs w:val="28"/>
          <w:lang w:val="lt-LT"/>
        </w:rPr>
      </w:pPr>
      <w:r w:rsidRPr="008436E8">
        <w:rPr>
          <w:b/>
          <w:bCs/>
          <w:sz w:val="28"/>
          <w:szCs w:val="28"/>
          <w:lang w:val="lt-LT"/>
        </w:rPr>
        <w:t xml:space="preserve">LIETUVOS AUKŠČIAUSIASIS TEISMAS </w:t>
      </w:r>
    </w:p>
    <w:p w14:paraId="381DD9B2" w14:textId="77777777" w:rsidR="006E7FAA" w:rsidRPr="008436E8" w:rsidRDefault="006E7FAA" w:rsidP="006E7FAA">
      <w:pPr>
        <w:keepNext/>
        <w:outlineLvl w:val="0"/>
        <w:rPr>
          <w:b/>
          <w:bCs/>
          <w:sz w:val="28"/>
          <w:szCs w:val="28"/>
          <w:lang w:val="lt-LT"/>
        </w:rPr>
      </w:pPr>
    </w:p>
    <w:p w14:paraId="6C3560AC" w14:textId="77777777" w:rsidR="006E7FAA" w:rsidRPr="008436E8" w:rsidRDefault="006E7FAA" w:rsidP="006E7FAA">
      <w:pPr>
        <w:keepNext/>
        <w:jc w:val="center"/>
        <w:outlineLvl w:val="0"/>
        <w:rPr>
          <w:b/>
          <w:bCs/>
          <w:sz w:val="28"/>
          <w:szCs w:val="28"/>
          <w:lang w:val="lt-LT"/>
        </w:rPr>
      </w:pPr>
      <w:r w:rsidRPr="008436E8">
        <w:rPr>
          <w:b/>
          <w:bCs/>
          <w:sz w:val="28"/>
          <w:szCs w:val="28"/>
          <w:lang w:val="lt-LT"/>
        </w:rPr>
        <w:t>N U T A R T I S</w:t>
      </w:r>
    </w:p>
    <w:p w14:paraId="56CA8C9C" w14:textId="77777777" w:rsidR="006E7FAA" w:rsidRPr="008436E8" w:rsidRDefault="006E7FAA" w:rsidP="006E7FAA">
      <w:pPr>
        <w:keepNext/>
        <w:jc w:val="center"/>
        <w:outlineLvl w:val="1"/>
        <w:rPr>
          <w:lang w:val="lt-LT"/>
        </w:rPr>
      </w:pPr>
      <w:r w:rsidRPr="008436E8">
        <w:rPr>
          <w:lang w:val="lt-LT"/>
        </w:rPr>
        <w:t>LIETUVOS RESPUBLIKOS VARDU</w:t>
      </w:r>
    </w:p>
    <w:p w14:paraId="33812CB1" w14:textId="77777777" w:rsidR="006E7FAA" w:rsidRPr="008436E8" w:rsidRDefault="006E7FAA" w:rsidP="006E7FAA">
      <w:pPr>
        <w:rPr>
          <w:lang w:val="lt-LT"/>
        </w:rPr>
      </w:pPr>
    </w:p>
    <w:p w14:paraId="7D9C4AFA" w14:textId="0002F133" w:rsidR="006E7FAA" w:rsidRPr="008436E8" w:rsidRDefault="006E7FAA" w:rsidP="006E7FAA">
      <w:pPr>
        <w:keepNext/>
        <w:jc w:val="center"/>
        <w:outlineLvl w:val="0"/>
        <w:rPr>
          <w:bCs/>
          <w:lang w:val="lt-LT"/>
        </w:rPr>
      </w:pPr>
      <w:r w:rsidRPr="008436E8">
        <w:rPr>
          <w:bCs/>
          <w:lang w:val="lt-LT"/>
        </w:rPr>
        <w:t>20</w:t>
      </w:r>
      <w:r w:rsidR="0032265B" w:rsidRPr="008436E8">
        <w:rPr>
          <w:bCs/>
          <w:lang w:val="lt-LT"/>
        </w:rPr>
        <w:t>26</w:t>
      </w:r>
      <w:r w:rsidRPr="008436E8">
        <w:rPr>
          <w:bCs/>
          <w:lang w:val="lt-LT"/>
        </w:rPr>
        <w:t xml:space="preserve"> m. </w:t>
      </w:r>
      <w:r w:rsidR="00591FB4" w:rsidRPr="008436E8">
        <w:rPr>
          <w:lang w:val="lt-LT"/>
        </w:rPr>
        <w:t>liepos</w:t>
      </w:r>
      <w:r w:rsidR="004B6DFC" w:rsidRPr="008436E8">
        <w:rPr>
          <w:lang w:val="lt-LT"/>
        </w:rPr>
        <w:t xml:space="preserve"> </w:t>
      </w:r>
      <w:r w:rsidR="009011E7" w:rsidRPr="008436E8">
        <w:rPr>
          <w:lang w:val="lt-LT"/>
        </w:rPr>
        <w:t>16</w:t>
      </w:r>
      <w:r w:rsidR="004B6DFC" w:rsidRPr="008436E8">
        <w:rPr>
          <w:lang w:val="lt-LT"/>
        </w:rPr>
        <w:t xml:space="preserve"> </w:t>
      </w:r>
      <w:r w:rsidRPr="008436E8">
        <w:rPr>
          <w:bCs/>
          <w:lang w:val="lt-LT"/>
        </w:rPr>
        <w:t>d.</w:t>
      </w:r>
    </w:p>
    <w:p w14:paraId="6FF5605D" w14:textId="77777777" w:rsidR="006E7FAA" w:rsidRPr="008436E8" w:rsidRDefault="006E7FAA" w:rsidP="006E7FAA">
      <w:pPr>
        <w:jc w:val="center"/>
        <w:rPr>
          <w:lang w:val="lt-LT"/>
        </w:rPr>
      </w:pPr>
      <w:r w:rsidRPr="008436E8">
        <w:rPr>
          <w:lang w:val="lt-LT"/>
        </w:rPr>
        <w:t>Vilnius</w:t>
      </w:r>
    </w:p>
    <w:p w14:paraId="337EC041" w14:textId="77777777" w:rsidR="006E7FAA" w:rsidRPr="008436E8" w:rsidRDefault="006E7FAA" w:rsidP="006E7FAA">
      <w:pPr>
        <w:rPr>
          <w:lang w:val="lt-LT"/>
        </w:rPr>
      </w:pPr>
    </w:p>
    <w:p w14:paraId="20A249D1" w14:textId="58D8B141" w:rsidR="006E7FAA" w:rsidRPr="008436E8" w:rsidRDefault="006E7FAA" w:rsidP="006E7FAA">
      <w:pPr>
        <w:ind w:firstLine="720"/>
        <w:jc w:val="both"/>
        <w:rPr>
          <w:lang w:val="lt-LT"/>
        </w:rPr>
      </w:pPr>
      <w:r w:rsidRPr="008436E8">
        <w:rPr>
          <w:lang w:val="lt-LT"/>
        </w:rPr>
        <w:t xml:space="preserve">Lietuvos Aukščiausiojo Teismo </w:t>
      </w:r>
      <w:r w:rsidR="003C6F61" w:rsidRPr="008436E8">
        <w:rPr>
          <w:lang w:val="lt-LT"/>
        </w:rPr>
        <w:t>Baudžiamųjų bylų skyriaus teisėjų kolegija</w:t>
      </w:r>
      <w:r w:rsidRPr="008436E8">
        <w:rPr>
          <w:lang w:val="lt-LT"/>
        </w:rPr>
        <w:t xml:space="preserve">, susidedanti iš teisėjų </w:t>
      </w:r>
      <w:r w:rsidR="00591FB4" w:rsidRPr="008436E8">
        <w:rPr>
          <w:lang w:val="lt-LT"/>
        </w:rPr>
        <w:t>Olego Fedosiuko</w:t>
      </w:r>
      <w:r w:rsidR="00B10C36" w:rsidRPr="008436E8">
        <w:rPr>
          <w:lang w:val="lt-LT"/>
        </w:rPr>
        <w:t>, Eligijaus Gladučio (kolegijos pirmininko)</w:t>
      </w:r>
      <w:r w:rsidR="004E4011" w:rsidRPr="008436E8">
        <w:rPr>
          <w:lang w:val="lt-LT"/>
        </w:rPr>
        <w:t xml:space="preserve"> ir Gabrielės Juodkaitės-Granskienės (pranešėj</w:t>
      </w:r>
      <w:r w:rsidR="00B10C36" w:rsidRPr="008436E8">
        <w:rPr>
          <w:lang w:val="lt-LT"/>
        </w:rPr>
        <w:t>os</w:t>
      </w:r>
      <w:r w:rsidR="004E4011" w:rsidRPr="008436E8">
        <w:rPr>
          <w:lang w:val="lt-LT"/>
        </w:rPr>
        <w:t>)</w:t>
      </w:r>
      <w:r w:rsidRPr="008436E8">
        <w:rPr>
          <w:lang w:val="lt-LT"/>
        </w:rPr>
        <w:t>,</w:t>
      </w:r>
    </w:p>
    <w:p w14:paraId="0CF6A65A" w14:textId="605055BA" w:rsidR="006E7FAA" w:rsidRPr="008436E8" w:rsidRDefault="006E7FAA" w:rsidP="006E7FAA">
      <w:pPr>
        <w:jc w:val="both"/>
        <w:rPr>
          <w:lang w:val="lt-LT"/>
        </w:rPr>
      </w:pPr>
      <w:r w:rsidRPr="008436E8">
        <w:rPr>
          <w:lang w:val="lt-LT"/>
        </w:rPr>
        <w:t xml:space="preserve">sekretoriaujant </w:t>
      </w:r>
      <w:r w:rsidR="009011E7" w:rsidRPr="008436E8">
        <w:rPr>
          <w:lang w:val="lt-LT"/>
        </w:rPr>
        <w:t>Agatai Minkel</w:t>
      </w:r>
      <w:r w:rsidRPr="008436E8">
        <w:rPr>
          <w:lang w:val="lt-LT"/>
        </w:rPr>
        <w:t xml:space="preserve">, </w:t>
      </w:r>
    </w:p>
    <w:p w14:paraId="6D5892D9" w14:textId="2CBEAC7E" w:rsidR="006E7FAA" w:rsidRPr="008436E8" w:rsidRDefault="006E7FAA" w:rsidP="006E7FAA">
      <w:pPr>
        <w:jc w:val="both"/>
        <w:rPr>
          <w:lang w:val="lt-LT"/>
        </w:rPr>
      </w:pPr>
      <w:r w:rsidRPr="008436E8">
        <w:rPr>
          <w:lang w:val="lt-LT"/>
        </w:rPr>
        <w:t>dalyvaujant prokuror</w:t>
      </w:r>
      <w:r w:rsidR="009401E4" w:rsidRPr="008436E8">
        <w:rPr>
          <w:lang w:val="lt-LT"/>
        </w:rPr>
        <w:t>u</w:t>
      </w:r>
      <w:r w:rsidRPr="008436E8">
        <w:rPr>
          <w:lang w:val="lt-LT"/>
        </w:rPr>
        <w:t xml:space="preserve">i </w:t>
      </w:r>
      <w:r w:rsidR="00AF7056" w:rsidRPr="008436E8">
        <w:rPr>
          <w:lang w:val="lt-LT"/>
        </w:rPr>
        <w:t xml:space="preserve">Sergejui </w:t>
      </w:r>
      <w:r w:rsidR="0056242F" w:rsidRPr="008436E8">
        <w:rPr>
          <w:lang w:val="lt-LT"/>
        </w:rPr>
        <w:t>Stulginskiui</w:t>
      </w:r>
      <w:r w:rsidRPr="008436E8">
        <w:rPr>
          <w:lang w:val="lt-LT"/>
        </w:rPr>
        <w:t>,</w:t>
      </w:r>
    </w:p>
    <w:p w14:paraId="65D77357" w14:textId="69D9789C" w:rsidR="006267CB" w:rsidRPr="008436E8" w:rsidRDefault="00DD5B2A" w:rsidP="00DF5741">
      <w:pPr>
        <w:ind w:firstLine="720"/>
        <w:jc w:val="both"/>
        <w:rPr>
          <w:lang w:val="lt-LT"/>
        </w:rPr>
      </w:pPr>
      <w:r w:rsidRPr="008436E8">
        <w:rPr>
          <w:lang w:val="lt-LT"/>
        </w:rPr>
        <w:t>viešame</w:t>
      </w:r>
      <w:r w:rsidR="006E7FAA" w:rsidRPr="008436E8">
        <w:rPr>
          <w:lang w:val="lt-LT"/>
        </w:rPr>
        <w:t xml:space="preserve"> teismo posėdyje kasacine žodinio proceso tvarka išnagrinėjo baudžiamąją bylą pagal </w:t>
      </w:r>
      <w:r w:rsidR="00591FB4" w:rsidRPr="008436E8">
        <w:rPr>
          <w:b/>
          <w:lang w:val="lt-LT"/>
        </w:rPr>
        <w:t>Panevėžio apygardos prokuratūros Utenos apylinkės prokuratūros vyriausiojo prokuroro Lino</w:t>
      </w:r>
      <w:r w:rsidR="006F3DC6" w:rsidRPr="008436E8">
        <w:rPr>
          <w:b/>
          <w:lang w:val="lt-LT"/>
        </w:rPr>
        <w:t> </w:t>
      </w:r>
      <w:r w:rsidR="00591FB4" w:rsidRPr="008436E8">
        <w:rPr>
          <w:b/>
          <w:lang w:val="lt-LT"/>
        </w:rPr>
        <w:t xml:space="preserve">Latožos </w:t>
      </w:r>
      <w:r w:rsidR="006E7FAA" w:rsidRPr="008436E8">
        <w:rPr>
          <w:lang w:val="lt-LT"/>
        </w:rPr>
        <w:t>kasacin</w:t>
      </w:r>
      <w:r w:rsidR="00591FB4" w:rsidRPr="008436E8">
        <w:rPr>
          <w:lang w:val="lt-LT"/>
        </w:rPr>
        <w:t>į</w:t>
      </w:r>
      <w:r w:rsidR="006E7FAA" w:rsidRPr="008436E8">
        <w:rPr>
          <w:lang w:val="lt-LT"/>
        </w:rPr>
        <w:t xml:space="preserve"> skund</w:t>
      </w:r>
      <w:r w:rsidR="00591FB4" w:rsidRPr="008436E8">
        <w:rPr>
          <w:lang w:val="lt-LT"/>
        </w:rPr>
        <w:t>ą</w:t>
      </w:r>
      <w:r w:rsidR="006E7FAA" w:rsidRPr="008436E8">
        <w:rPr>
          <w:lang w:val="lt-LT"/>
        </w:rPr>
        <w:t xml:space="preserve"> dėl </w:t>
      </w:r>
      <w:r w:rsidR="00591FB4" w:rsidRPr="008436E8">
        <w:rPr>
          <w:lang w:val="lt-LT"/>
        </w:rPr>
        <w:t xml:space="preserve">Utenos apylinkės teismo 2025 m. rugpjūčio 12 d. nuosprendžio, kuriuo </w:t>
      </w:r>
      <w:bookmarkStart w:id="0" w:name="Buk_31"/>
      <w:r w:rsidR="009C47A2" w:rsidRPr="009C47A2">
        <w:rPr>
          <w:lang w:val="lt-LT"/>
        </w:rPr>
        <w:t xml:space="preserve">L. L. </w:t>
      </w:r>
      <w:bookmarkEnd w:id="0"/>
      <w:r w:rsidR="00591FB4" w:rsidRPr="008436E8">
        <w:rPr>
          <w:lang w:val="lt-LT"/>
        </w:rPr>
        <w:t xml:space="preserve">išteisintas </w:t>
      </w:r>
      <w:r w:rsidR="00DF5741" w:rsidRPr="008436E8">
        <w:rPr>
          <w:lang w:val="lt-LT"/>
        </w:rPr>
        <w:t>pagal</w:t>
      </w:r>
      <w:r w:rsidR="00591FB4" w:rsidRPr="008436E8">
        <w:rPr>
          <w:lang w:val="lt-LT"/>
        </w:rPr>
        <w:t xml:space="preserve"> Lietuvos Respublikos baudžiamojo kodekso (toliau – BK) 281</w:t>
      </w:r>
      <w:r w:rsidR="00591FB4" w:rsidRPr="008436E8">
        <w:rPr>
          <w:vertAlign w:val="superscript"/>
          <w:lang w:val="lt-LT"/>
        </w:rPr>
        <w:t>1</w:t>
      </w:r>
      <w:r w:rsidR="00597CC8">
        <w:rPr>
          <w:lang w:val="lt-LT"/>
        </w:rPr>
        <w:t> </w:t>
      </w:r>
      <w:r w:rsidR="00591FB4" w:rsidRPr="008436E8">
        <w:rPr>
          <w:lang w:val="lt-LT"/>
        </w:rPr>
        <w:t>straipsnio 1 dal</w:t>
      </w:r>
      <w:r w:rsidR="00DF5741" w:rsidRPr="008436E8">
        <w:rPr>
          <w:lang w:val="lt-LT"/>
        </w:rPr>
        <w:t>į, nes nepadaryta veika, turinti nusikaltimo ar baudžiamojo nusižengimo požymių</w:t>
      </w:r>
      <w:r w:rsidR="00074AF0" w:rsidRPr="008436E8">
        <w:rPr>
          <w:lang w:val="lt-LT"/>
        </w:rPr>
        <w:t xml:space="preserve">. </w:t>
      </w:r>
    </w:p>
    <w:p w14:paraId="27AC405A" w14:textId="0390F555" w:rsidR="00564C2B" w:rsidRPr="008436E8" w:rsidRDefault="00564C2B" w:rsidP="00564C2B">
      <w:pPr>
        <w:ind w:firstLine="720"/>
        <w:jc w:val="both"/>
        <w:rPr>
          <w:lang w:val="lt-LT"/>
        </w:rPr>
      </w:pPr>
      <w:r w:rsidRPr="008436E8">
        <w:rPr>
          <w:lang w:val="lt-LT"/>
        </w:rPr>
        <w:t xml:space="preserve">Taip pat skundžiama </w:t>
      </w:r>
      <w:r w:rsidR="00591FB4" w:rsidRPr="008436E8">
        <w:rPr>
          <w:lang w:val="lt-LT"/>
        </w:rPr>
        <w:t>Panevėžio apygardos</w:t>
      </w:r>
      <w:r w:rsidRPr="008436E8">
        <w:rPr>
          <w:lang w:val="lt-LT"/>
        </w:rPr>
        <w:t xml:space="preserve"> teismo Baudžiamųjų bylų skyriaus teisėjų kolegijos 202</w:t>
      </w:r>
      <w:r w:rsidR="00591FB4" w:rsidRPr="008436E8">
        <w:rPr>
          <w:lang w:val="lt-LT"/>
        </w:rPr>
        <w:t>6</w:t>
      </w:r>
      <w:r w:rsidRPr="008436E8">
        <w:rPr>
          <w:lang w:val="lt-LT"/>
        </w:rPr>
        <w:t xml:space="preserve"> m. </w:t>
      </w:r>
      <w:r w:rsidR="00591FB4" w:rsidRPr="008436E8">
        <w:rPr>
          <w:lang w:val="lt-LT"/>
        </w:rPr>
        <w:t>kovo</w:t>
      </w:r>
      <w:r w:rsidRPr="008436E8">
        <w:rPr>
          <w:lang w:val="lt-LT"/>
        </w:rPr>
        <w:t xml:space="preserve"> </w:t>
      </w:r>
      <w:r w:rsidR="00591FB4" w:rsidRPr="008436E8">
        <w:rPr>
          <w:lang w:val="lt-LT"/>
        </w:rPr>
        <w:t>5</w:t>
      </w:r>
      <w:r w:rsidRPr="008436E8">
        <w:rPr>
          <w:lang w:val="lt-LT"/>
        </w:rPr>
        <w:t xml:space="preserve"> d. nutarti</w:t>
      </w:r>
      <w:r w:rsidR="003057F6" w:rsidRPr="008436E8">
        <w:rPr>
          <w:lang w:val="lt-LT"/>
        </w:rPr>
        <w:t xml:space="preserve">s, kuria </w:t>
      </w:r>
      <w:r w:rsidR="009D7BFE" w:rsidRPr="008436E8">
        <w:rPr>
          <w:lang w:val="lt-LT"/>
        </w:rPr>
        <w:t>prokuratūros apeliacini</w:t>
      </w:r>
      <w:r w:rsidR="00591FB4" w:rsidRPr="008436E8">
        <w:rPr>
          <w:lang w:val="lt-LT"/>
        </w:rPr>
        <w:t>s</w:t>
      </w:r>
      <w:r w:rsidR="009D7BFE" w:rsidRPr="008436E8">
        <w:rPr>
          <w:lang w:val="lt-LT"/>
        </w:rPr>
        <w:t xml:space="preserve"> skunda</w:t>
      </w:r>
      <w:r w:rsidR="00591FB4" w:rsidRPr="008436E8">
        <w:rPr>
          <w:lang w:val="lt-LT"/>
        </w:rPr>
        <w:t>s</w:t>
      </w:r>
      <w:r w:rsidR="009D7BFE" w:rsidRPr="008436E8">
        <w:rPr>
          <w:lang w:val="lt-LT"/>
        </w:rPr>
        <w:t xml:space="preserve"> atmest</w:t>
      </w:r>
      <w:r w:rsidR="00591FB4" w:rsidRPr="008436E8">
        <w:rPr>
          <w:lang w:val="lt-LT"/>
        </w:rPr>
        <w:t>as</w:t>
      </w:r>
      <w:r w:rsidR="009D7BFE" w:rsidRPr="008436E8">
        <w:rPr>
          <w:lang w:val="lt-LT"/>
        </w:rPr>
        <w:t>.</w:t>
      </w:r>
      <w:r w:rsidR="00DA0F50" w:rsidRPr="008436E8">
        <w:rPr>
          <w:lang w:val="lt-LT"/>
        </w:rPr>
        <w:t xml:space="preserve"> </w:t>
      </w:r>
    </w:p>
    <w:p w14:paraId="20CE5835" w14:textId="77777777" w:rsidR="00FF63B3" w:rsidRPr="008436E8" w:rsidRDefault="00FF63B3" w:rsidP="00564C2B">
      <w:pPr>
        <w:ind w:firstLine="720"/>
        <w:jc w:val="both"/>
        <w:rPr>
          <w:lang w:val="lt-LT"/>
        </w:rPr>
      </w:pPr>
    </w:p>
    <w:p w14:paraId="05F84037" w14:textId="14FD0AEE" w:rsidR="006E7FAA" w:rsidRPr="008436E8" w:rsidRDefault="006E7FAA" w:rsidP="006E7FAA">
      <w:pPr>
        <w:jc w:val="both"/>
        <w:rPr>
          <w:b/>
          <w:bCs/>
          <w:lang w:val="lt-LT"/>
        </w:rPr>
      </w:pPr>
      <w:r w:rsidRPr="008436E8">
        <w:rPr>
          <w:lang w:val="lt-LT"/>
        </w:rPr>
        <w:tab/>
        <w:t xml:space="preserve">Teisėjų kolegija, išnagrinėjusi bylą ir išklausiusi </w:t>
      </w:r>
      <w:r w:rsidR="00BE6569" w:rsidRPr="008436E8">
        <w:rPr>
          <w:lang w:val="lt-LT"/>
        </w:rPr>
        <w:t>prokuror</w:t>
      </w:r>
      <w:r w:rsidR="00B66A51" w:rsidRPr="008436E8">
        <w:rPr>
          <w:lang w:val="lt-LT"/>
        </w:rPr>
        <w:t>o</w:t>
      </w:r>
      <w:r w:rsidR="00BE6569" w:rsidRPr="008436E8">
        <w:rPr>
          <w:lang w:val="lt-LT"/>
        </w:rPr>
        <w:t xml:space="preserve">, </w:t>
      </w:r>
      <w:r w:rsidR="00B66A51" w:rsidRPr="008436E8">
        <w:rPr>
          <w:lang w:val="lt-LT"/>
        </w:rPr>
        <w:t>prašiusi</w:t>
      </w:r>
      <w:r w:rsidR="00E93849" w:rsidRPr="008436E8">
        <w:rPr>
          <w:lang w:val="lt-LT"/>
        </w:rPr>
        <w:t>o</w:t>
      </w:r>
      <w:r w:rsidR="00B66A51" w:rsidRPr="008436E8">
        <w:rPr>
          <w:lang w:val="lt-LT"/>
        </w:rPr>
        <w:t xml:space="preserve"> kasacin</w:t>
      </w:r>
      <w:r w:rsidR="00E93849" w:rsidRPr="008436E8">
        <w:rPr>
          <w:lang w:val="lt-LT"/>
        </w:rPr>
        <w:t>į</w:t>
      </w:r>
      <w:r w:rsidR="00B66A51" w:rsidRPr="008436E8">
        <w:rPr>
          <w:lang w:val="lt-LT"/>
        </w:rPr>
        <w:t xml:space="preserve"> skund</w:t>
      </w:r>
      <w:r w:rsidR="00E93849" w:rsidRPr="008436E8">
        <w:rPr>
          <w:lang w:val="lt-LT"/>
        </w:rPr>
        <w:t xml:space="preserve">ą </w:t>
      </w:r>
      <w:r w:rsidR="00B66A51" w:rsidRPr="008436E8">
        <w:rPr>
          <w:lang w:val="lt-LT"/>
        </w:rPr>
        <w:t xml:space="preserve">tenkinti, </w:t>
      </w:r>
      <w:r w:rsidRPr="008436E8">
        <w:rPr>
          <w:lang w:val="lt-LT"/>
        </w:rPr>
        <w:t>paaiškinimų,</w:t>
      </w:r>
    </w:p>
    <w:p w14:paraId="1FC44431" w14:textId="1E45B204" w:rsidR="006E7FAA" w:rsidRPr="008436E8" w:rsidRDefault="006E7FAA" w:rsidP="006E7FAA">
      <w:pPr>
        <w:jc w:val="both"/>
        <w:rPr>
          <w:b/>
          <w:bCs/>
          <w:lang w:val="lt-LT"/>
        </w:rPr>
      </w:pPr>
      <w:r w:rsidRPr="008436E8">
        <w:rPr>
          <w:b/>
          <w:bCs/>
          <w:lang w:val="lt-LT"/>
        </w:rPr>
        <w:tab/>
      </w:r>
    </w:p>
    <w:p w14:paraId="4778C6D8" w14:textId="77777777" w:rsidR="006E7FAA" w:rsidRPr="008436E8" w:rsidRDefault="006E7FAA" w:rsidP="006E7FAA">
      <w:pPr>
        <w:jc w:val="both"/>
        <w:rPr>
          <w:lang w:val="lt-LT"/>
        </w:rPr>
      </w:pPr>
      <w:r w:rsidRPr="008436E8">
        <w:rPr>
          <w:lang w:val="lt-LT"/>
        </w:rPr>
        <w:t>n u s t a t ė :</w:t>
      </w:r>
    </w:p>
    <w:p w14:paraId="7F712B66" w14:textId="72CB011E" w:rsidR="006E7FAA" w:rsidRPr="008436E8" w:rsidRDefault="006E7FAA" w:rsidP="00F910B5">
      <w:pPr>
        <w:jc w:val="both"/>
        <w:rPr>
          <w:lang w:val="lt-LT"/>
        </w:rPr>
      </w:pPr>
      <w:r w:rsidRPr="008436E8">
        <w:rPr>
          <w:lang w:val="lt-LT"/>
        </w:rPr>
        <w:tab/>
      </w:r>
    </w:p>
    <w:p w14:paraId="21BB1DB0" w14:textId="7CB21D8C" w:rsidR="0032265B" w:rsidRPr="008436E8" w:rsidRDefault="00EE546A" w:rsidP="00EE546A">
      <w:pPr>
        <w:pStyle w:val="Pagrindinistekstas"/>
        <w:ind w:left="360"/>
        <w:jc w:val="center"/>
      </w:pPr>
      <w:r w:rsidRPr="008436E8">
        <w:t xml:space="preserve">I. </w:t>
      </w:r>
      <w:r w:rsidR="006E7FAA" w:rsidRPr="008436E8">
        <w:t>Bylos esmė</w:t>
      </w:r>
    </w:p>
    <w:p w14:paraId="506949FE" w14:textId="77777777" w:rsidR="003E60C2" w:rsidRPr="008436E8" w:rsidRDefault="003E60C2" w:rsidP="003E60C2">
      <w:pPr>
        <w:tabs>
          <w:tab w:val="left" w:pos="780"/>
        </w:tabs>
        <w:jc w:val="both"/>
        <w:rPr>
          <w:lang w:val="lt-LT"/>
        </w:rPr>
      </w:pPr>
    </w:p>
    <w:p w14:paraId="3A490FCA" w14:textId="4294CC7C" w:rsidR="00D60230" w:rsidRPr="008436E8" w:rsidRDefault="009C47A2" w:rsidP="003E60C2">
      <w:pPr>
        <w:pStyle w:val="Sraopastraipa"/>
        <w:numPr>
          <w:ilvl w:val="0"/>
          <w:numId w:val="26"/>
        </w:numPr>
        <w:ind w:left="357" w:hanging="357"/>
        <w:jc w:val="both"/>
        <w:rPr>
          <w:rFonts w:eastAsia="Calibri"/>
          <w:lang w:val="lt-LT"/>
        </w:rPr>
      </w:pPr>
      <w:bookmarkStart w:id="1" w:name="Buk_32"/>
      <w:r w:rsidRPr="009C47A2">
        <w:rPr>
          <w:lang w:val="lt-LT"/>
        </w:rPr>
        <w:t xml:space="preserve">L. L. </w:t>
      </w:r>
      <w:bookmarkEnd w:id="1"/>
      <w:r w:rsidR="009011E7" w:rsidRPr="008436E8">
        <w:rPr>
          <w:lang w:val="lt-LT"/>
        </w:rPr>
        <w:t>pagal BK 281</w:t>
      </w:r>
      <w:r w:rsidR="009011E7" w:rsidRPr="008436E8">
        <w:rPr>
          <w:vertAlign w:val="superscript"/>
          <w:lang w:val="lt-LT"/>
        </w:rPr>
        <w:t>1</w:t>
      </w:r>
      <w:r w:rsidR="009011E7" w:rsidRPr="008436E8">
        <w:rPr>
          <w:lang w:val="lt-LT"/>
        </w:rPr>
        <w:t xml:space="preserve"> straipsnio 1 dalį buvo kaltinamas tuo, kad vairavo kelių transporto priemonę būdamas apsvaigęs nuo alkoholio</w:t>
      </w:r>
      <w:r w:rsidR="00A530D9" w:rsidRPr="008436E8">
        <w:rPr>
          <w:lang w:val="lt-LT"/>
        </w:rPr>
        <w:t xml:space="preserve"> –</w:t>
      </w:r>
      <w:r w:rsidR="009011E7" w:rsidRPr="008436E8">
        <w:rPr>
          <w:lang w:val="lt-LT"/>
        </w:rPr>
        <w:t xml:space="preserve"> jam </w:t>
      </w:r>
      <w:r w:rsidR="00A530D9" w:rsidRPr="008436E8">
        <w:rPr>
          <w:lang w:val="lt-LT"/>
        </w:rPr>
        <w:t xml:space="preserve">buvo </w:t>
      </w:r>
      <w:r w:rsidR="009011E7" w:rsidRPr="008436E8">
        <w:rPr>
          <w:lang w:val="lt-LT"/>
        </w:rPr>
        <w:t>nustatytas daugiau nei 1,51 promilės neblaivumas</w:t>
      </w:r>
      <w:r w:rsidR="00A530D9" w:rsidRPr="008436E8">
        <w:rPr>
          <w:lang w:val="lt-LT"/>
        </w:rPr>
        <w:t xml:space="preserve"> –</w:t>
      </w:r>
      <w:r w:rsidR="009011E7" w:rsidRPr="008436E8">
        <w:rPr>
          <w:lang w:val="lt-LT"/>
        </w:rPr>
        <w:t xml:space="preserve"> tokiomis aplinkybėmis: jis 2025 m. liepos 17 d. apie 14.24 val. Utenoje vairavo kelių transporto priemonę – motorinį dviratį su benzininiu vidaus degimo varikliu be valstybinio numerio ženklo, būdamas neblaivus, alkoholio kiekio matuokliu jam </w:t>
      </w:r>
      <w:r w:rsidR="00A530D9" w:rsidRPr="008436E8">
        <w:rPr>
          <w:lang w:val="lt-LT"/>
        </w:rPr>
        <w:t xml:space="preserve">buvo </w:t>
      </w:r>
      <w:r w:rsidR="009011E7" w:rsidRPr="008436E8">
        <w:rPr>
          <w:lang w:val="lt-LT"/>
        </w:rPr>
        <w:t>nustatytas 2,02</w:t>
      </w:r>
      <w:r w:rsidR="00A530D9" w:rsidRPr="008436E8">
        <w:rPr>
          <w:lang w:val="lt-LT"/>
        </w:rPr>
        <w:t xml:space="preserve"> promilės </w:t>
      </w:r>
      <w:r w:rsidR="009011E7" w:rsidRPr="008436E8">
        <w:rPr>
          <w:lang w:val="lt-LT"/>
        </w:rPr>
        <w:t>neblaivumas.</w:t>
      </w:r>
    </w:p>
    <w:p w14:paraId="02A26451" w14:textId="77777777" w:rsidR="00A530D9" w:rsidRPr="008436E8" w:rsidRDefault="00A530D9" w:rsidP="00D60230">
      <w:pPr>
        <w:tabs>
          <w:tab w:val="left" w:pos="780"/>
        </w:tabs>
        <w:jc w:val="center"/>
        <w:rPr>
          <w:rFonts w:eastAsia="Calibri"/>
          <w:lang w:val="lt-LT"/>
        </w:rPr>
      </w:pPr>
    </w:p>
    <w:p w14:paraId="214987FE" w14:textId="7F83E984" w:rsidR="006E7FAA" w:rsidRPr="008436E8" w:rsidRDefault="006E7FAA" w:rsidP="00D60230">
      <w:pPr>
        <w:tabs>
          <w:tab w:val="left" w:pos="780"/>
        </w:tabs>
        <w:jc w:val="center"/>
        <w:rPr>
          <w:rFonts w:eastAsia="Calibri"/>
          <w:lang w:val="lt-LT"/>
        </w:rPr>
      </w:pPr>
      <w:r w:rsidRPr="008436E8">
        <w:rPr>
          <w:rFonts w:eastAsia="Calibri"/>
          <w:lang w:val="lt-LT"/>
        </w:rPr>
        <w:t>II. Kasacini</w:t>
      </w:r>
      <w:r w:rsidR="00154A59" w:rsidRPr="008436E8">
        <w:rPr>
          <w:rFonts w:eastAsia="Calibri"/>
          <w:lang w:val="lt-LT"/>
        </w:rPr>
        <w:t xml:space="preserve">o </w:t>
      </w:r>
      <w:r w:rsidRPr="008436E8">
        <w:rPr>
          <w:rFonts w:eastAsia="Calibri"/>
          <w:lang w:val="lt-LT"/>
        </w:rPr>
        <w:t>skund</w:t>
      </w:r>
      <w:r w:rsidR="00154A59" w:rsidRPr="008436E8">
        <w:rPr>
          <w:rFonts w:eastAsia="Calibri"/>
          <w:lang w:val="lt-LT"/>
        </w:rPr>
        <w:t>o</w:t>
      </w:r>
      <w:r w:rsidRPr="008436E8">
        <w:rPr>
          <w:rFonts w:eastAsia="Calibri"/>
          <w:lang w:val="lt-LT"/>
        </w:rPr>
        <w:t xml:space="preserve"> </w:t>
      </w:r>
      <w:r w:rsidRPr="008436E8">
        <w:rPr>
          <w:rFonts w:eastAsia="Calibri"/>
          <w:iCs/>
          <w:lang w:val="lt-LT"/>
        </w:rPr>
        <w:t>argumentai</w:t>
      </w:r>
    </w:p>
    <w:p w14:paraId="1CF2E06F" w14:textId="6E7986CC" w:rsidR="006E7FAA" w:rsidRPr="008436E8" w:rsidRDefault="006E7FAA" w:rsidP="008F3F58">
      <w:pPr>
        <w:tabs>
          <w:tab w:val="left" w:pos="780"/>
        </w:tabs>
        <w:jc w:val="center"/>
        <w:rPr>
          <w:rFonts w:eastAsia="Calibri"/>
          <w:lang w:val="lt-LT"/>
        </w:rPr>
      </w:pPr>
    </w:p>
    <w:p w14:paraId="2C98CEE7" w14:textId="057A4AB2" w:rsidR="006E7FAA" w:rsidRPr="008436E8" w:rsidRDefault="006E7FAA" w:rsidP="003B23C1">
      <w:pPr>
        <w:pStyle w:val="Sraopastraipa"/>
        <w:numPr>
          <w:ilvl w:val="0"/>
          <w:numId w:val="26"/>
        </w:numPr>
        <w:tabs>
          <w:tab w:val="left" w:pos="780"/>
        </w:tabs>
        <w:spacing w:after="120"/>
        <w:ind w:left="357" w:hanging="357"/>
        <w:jc w:val="both"/>
        <w:rPr>
          <w:lang w:val="lt-LT" w:bidi="lt-LT"/>
        </w:rPr>
      </w:pPr>
      <w:r w:rsidRPr="008436E8">
        <w:rPr>
          <w:lang w:val="lt-LT"/>
        </w:rPr>
        <w:t xml:space="preserve">Kasaciniu skundu </w:t>
      </w:r>
      <w:r w:rsidR="00591FB4" w:rsidRPr="008436E8">
        <w:rPr>
          <w:bCs/>
          <w:lang w:val="lt-LT"/>
        </w:rPr>
        <w:t>Panevėžio apygardos prokuratūros Utenos apylinkės prokuratūros vyriausiasis prokuroras L</w:t>
      </w:r>
      <w:r w:rsidR="00A45B07" w:rsidRPr="008436E8">
        <w:rPr>
          <w:bCs/>
          <w:lang w:val="lt-LT"/>
        </w:rPr>
        <w:t>.</w:t>
      </w:r>
      <w:r w:rsidR="00591FB4" w:rsidRPr="008436E8">
        <w:rPr>
          <w:bCs/>
          <w:lang w:val="lt-LT"/>
        </w:rPr>
        <w:t xml:space="preserve"> Latoža</w:t>
      </w:r>
      <w:r w:rsidR="00591FB4" w:rsidRPr="008436E8">
        <w:rPr>
          <w:b/>
          <w:lang w:val="lt-LT"/>
        </w:rPr>
        <w:t xml:space="preserve"> </w:t>
      </w:r>
      <w:r w:rsidR="00D33943" w:rsidRPr="008436E8">
        <w:rPr>
          <w:lang w:val="lt-LT"/>
        </w:rPr>
        <w:t xml:space="preserve">prašo panaikinti </w:t>
      </w:r>
      <w:r w:rsidR="00591FB4" w:rsidRPr="008436E8">
        <w:rPr>
          <w:lang w:val="lt-LT"/>
        </w:rPr>
        <w:t xml:space="preserve">Panevėžio apygardos teismo Baudžiamųjų bylų skyriaus teisėjų kolegijos 2026 m. kovo 5 d. nutartį </w:t>
      </w:r>
      <w:r w:rsidR="007458D4" w:rsidRPr="008436E8">
        <w:rPr>
          <w:lang w:val="lt-LT"/>
        </w:rPr>
        <w:t>ir perduoti bylą iš naujo nagrinėti apeliacine tvarka</w:t>
      </w:r>
      <w:r w:rsidRPr="008436E8">
        <w:rPr>
          <w:lang w:val="lt-LT"/>
        </w:rPr>
        <w:t>. Kasatorius skunde nurodo:</w:t>
      </w:r>
    </w:p>
    <w:p w14:paraId="5524E6A0" w14:textId="3DBC28DE" w:rsidR="00FB08F4" w:rsidRPr="008436E8" w:rsidRDefault="003313FD" w:rsidP="00FB08F4">
      <w:pPr>
        <w:pStyle w:val="Pagrindinistekstas"/>
        <w:numPr>
          <w:ilvl w:val="1"/>
          <w:numId w:val="26"/>
        </w:numPr>
        <w:spacing w:after="120"/>
        <w:rPr>
          <w:rFonts w:asciiTheme="majorBidi" w:hAnsiTheme="majorBidi" w:cstheme="majorBidi"/>
        </w:rPr>
      </w:pPr>
      <w:r w:rsidRPr="008436E8">
        <w:rPr>
          <w:rFonts w:asciiTheme="majorBidi" w:hAnsiTheme="majorBidi" w:cstheme="majorBidi"/>
        </w:rPr>
        <w:lastRenderedPageBreak/>
        <w:t xml:space="preserve">Abiejų </w:t>
      </w:r>
      <w:r w:rsidRPr="008436E8">
        <w:rPr>
          <w:rFonts w:asciiTheme="majorBidi" w:hAnsiTheme="majorBidi" w:cstheme="majorBidi"/>
          <w:color w:val="000000"/>
          <w:lang w:eastAsia="lt-LT" w:bidi="lt-LT"/>
        </w:rPr>
        <w:t>instancijų teismai</w:t>
      </w:r>
      <w:r w:rsidRPr="008436E8">
        <w:rPr>
          <w:rFonts w:asciiTheme="majorBidi" w:hAnsiTheme="majorBidi" w:cstheme="majorBidi"/>
        </w:rPr>
        <w:t xml:space="preserve"> </w:t>
      </w:r>
      <w:r w:rsidR="00640D41" w:rsidRPr="008436E8">
        <w:rPr>
          <w:rFonts w:asciiTheme="majorBidi" w:hAnsiTheme="majorBidi" w:cstheme="majorBidi"/>
        </w:rPr>
        <w:t>skirtingai aiškino ir taikė BK</w:t>
      </w:r>
      <w:r w:rsidR="00640D41" w:rsidRPr="008436E8">
        <w:rPr>
          <w:rFonts w:asciiTheme="majorBidi" w:hAnsiTheme="majorBidi" w:cstheme="majorBidi"/>
          <w:color w:val="000000"/>
          <w:shd w:val="clear" w:color="auto" w:fill="FFFFFF"/>
        </w:rPr>
        <w:t xml:space="preserve"> 281</w:t>
      </w:r>
      <w:r w:rsidR="00572DF2" w:rsidRPr="008436E8">
        <w:rPr>
          <w:color w:val="000000"/>
          <w:shd w:val="clear" w:color="auto" w:fill="FFFFFF"/>
          <w:vertAlign w:val="superscript"/>
          <w:lang w:eastAsia="lt-LT"/>
        </w:rPr>
        <w:t xml:space="preserve">1 </w:t>
      </w:r>
      <w:r w:rsidR="00640D41" w:rsidRPr="008436E8">
        <w:rPr>
          <w:rFonts w:asciiTheme="majorBidi" w:hAnsiTheme="majorBidi" w:cstheme="majorBidi"/>
          <w:color w:val="000000"/>
          <w:shd w:val="clear" w:color="auto" w:fill="FFFFFF"/>
        </w:rPr>
        <w:t xml:space="preserve">straipsnio 1 dalies nuostatas, taip pat </w:t>
      </w:r>
      <w:r w:rsidR="00640D41" w:rsidRPr="008436E8">
        <w:rPr>
          <w:rFonts w:asciiTheme="majorBidi" w:hAnsiTheme="majorBidi" w:cstheme="majorBidi"/>
        </w:rPr>
        <w:t>Lietuvos Respublikos saugaus eismo automobilių keliais įstatymo (toliau –</w:t>
      </w:r>
      <w:r w:rsidR="008F7781" w:rsidRPr="008436E8">
        <w:rPr>
          <w:rFonts w:asciiTheme="majorBidi" w:hAnsiTheme="majorBidi" w:cstheme="majorBidi"/>
        </w:rPr>
        <w:t xml:space="preserve"> </w:t>
      </w:r>
      <w:r w:rsidR="00640D41" w:rsidRPr="008436E8">
        <w:rPr>
          <w:rFonts w:asciiTheme="majorBidi" w:hAnsiTheme="majorBidi" w:cstheme="majorBidi"/>
          <w:color w:val="151515"/>
        </w:rPr>
        <w:t>SEAKĮ)</w:t>
      </w:r>
      <w:r w:rsidR="00640D41" w:rsidRPr="008436E8">
        <w:rPr>
          <w:rFonts w:asciiTheme="majorBidi" w:hAnsiTheme="majorBidi" w:cstheme="majorBidi"/>
          <w:color w:val="000000"/>
          <w:shd w:val="clear" w:color="auto" w:fill="FFFFFF"/>
        </w:rPr>
        <w:t xml:space="preserve"> 2</w:t>
      </w:r>
      <w:r w:rsidR="00A530D9" w:rsidRPr="008436E8">
        <w:rPr>
          <w:rFonts w:asciiTheme="majorBidi" w:hAnsiTheme="majorBidi" w:cstheme="majorBidi"/>
          <w:color w:val="000000"/>
          <w:shd w:val="clear" w:color="auto" w:fill="FFFFFF"/>
        </w:rPr>
        <w:t> </w:t>
      </w:r>
      <w:r w:rsidR="00640D41" w:rsidRPr="008436E8">
        <w:rPr>
          <w:rFonts w:asciiTheme="majorBidi" w:hAnsiTheme="majorBidi" w:cstheme="majorBidi"/>
          <w:color w:val="000000"/>
          <w:shd w:val="clear" w:color="auto" w:fill="FFFFFF"/>
        </w:rPr>
        <w:t>straipsnio 33, 34, 36 ir 40 dalyse nurodytus motorinės transporto priemonės, motorinio dviračio, mopedo ir motociklo apibrėžimus BK</w:t>
      </w:r>
      <w:r w:rsidR="00B21055" w:rsidRPr="008436E8">
        <w:rPr>
          <w:rFonts w:asciiTheme="majorBidi" w:hAnsiTheme="majorBidi" w:cstheme="majorBidi"/>
          <w:color w:val="000000"/>
          <w:shd w:val="clear" w:color="auto" w:fill="FFFFFF"/>
        </w:rPr>
        <w:t xml:space="preserve"> </w:t>
      </w:r>
      <w:r w:rsidR="00640D41" w:rsidRPr="008436E8">
        <w:rPr>
          <w:rFonts w:asciiTheme="majorBidi" w:hAnsiTheme="majorBidi" w:cstheme="majorBidi"/>
          <w:color w:val="000000"/>
          <w:shd w:val="clear" w:color="auto" w:fill="FFFFFF"/>
        </w:rPr>
        <w:t>281</w:t>
      </w:r>
      <w:r w:rsidR="0030387B" w:rsidRPr="008436E8">
        <w:rPr>
          <w:color w:val="000000"/>
          <w:shd w:val="clear" w:color="auto" w:fill="FFFFFF"/>
          <w:vertAlign w:val="superscript"/>
          <w:lang w:eastAsia="lt-LT"/>
        </w:rPr>
        <w:t>1</w:t>
      </w:r>
      <w:r w:rsidR="00640D41" w:rsidRPr="008436E8">
        <w:rPr>
          <w:rFonts w:asciiTheme="majorBidi" w:hAnsiTheme="majorBidi" w:cstheme="majorBidi"/>
          <w:color w:val="000000"/>
          <w:shd w:val="clear" w:color="auto" w:fill="FFFFFF"/>
        </w:rPr>
        <w:t xml:space="preserve"> straipsnio 1 d</w:t>
      </w:r>
      <w:r w:rsidR="0030387B" w:rsidRPr="008436E8">
        <w:rPr>
          <w:rFonts w:asciiTheme="majorBidi" w:hAnsiTheme="majorBidi" w:cstheme="majorBidi"/>
          <w:color w:val="000000"/>
          <w:shd w:val="clear" w:color="auto" w:fill="FFFFFF"/>
        </w:rPr>
        <w:t>alies</w:t>
      </w:r>
      <w:r w:rsidR="00640D41" w:rsidRPr="008436E8">
        <w:rPr>
          <w:rFonts w:asciiTheme="majorBidi" w:hAnsiTheme="majorBidi" w:cstheme="majorBidi"/>
          <w:color w:val="000000"/>
          <w:shd w:val="clear" w:color="auto" w:fill="FFFFFF"/>
        </w:rPr>
        <w:t xml:space="preserve"> kontekste, dėl </w:t>
      </w:r>
      <w:r w:rsidR="00A530D9" w:rsidRPr="008436E8">
        <w:rPr>
          <w:rFonts w:asciiTheme="majorBidi" w:hAnsiTheme="majorBidi" w:cstheme="majorBidi"/>
          <w:color w:val="000000"/>
          <w:shd w:val="clear" w:color="auto" w:fill="FFFFFF"/>
        </w:rPr>
        <w:t>t</w:t>
      </w:r>
      <w:r w:rsidR="00640D41" w:rsidRPr="008436E8">
        <w:rPr>
          <w:rFonts w:asciiTheme="majorBidi" w:hAnsiTheme="majorBidi" w:cstheme="majorBidi"/>
          <w:color w:val="000000"/>
          <w:shd w:val="clear" w:color="auto" w:fill="FFFFFF"/>
        </w:rPr>
        <w:t>o netinkamai taikė baudžiamąjį įstatymą ir priėmė neteisingus bei nepagrįstus sprendimus.</w:t>
      </w:r>
    </w:p>
    <w:p w14:paraId="107310C7" w14:textId="77777777" w:rsidR="00FB08F4" w:rsidRPr="008436E8" w:rsidRDefault="00640D41" w:rsidP="00FB08F4">
      <w:pPr>
        <w:pStyle w:val="Pagrindinistekstas"/>
        <w:numPr>
          <w:ilvl w:val="1"/>
          <w:numId w:val="26"/>
        </w:numPr>
        <w:spacing w:after="120"/>
        <w:rPr>
          <w:rFonts w:asciiTheme="majorBidi" w:hAnsiTheme="majorBidi" w:cstheme="majorBidi"/>
        </w:rPr>
      </w:pPr>
      <w:r w:rsidRPr="008436E8">
        <w:rPr>
          <w:rStyle w:val="DefaultParagraphFont5"/>
          <w:color w:val="000000"/>
          <w:shd w:val="clear" w:color="auto" w:fill="FFFFFF"/>
          <w:lang w:eastAsia="lt-LT"/>
        </w:rPr>
        <w:t>B</w:t>
      </w:r>
      <w:r w:rsidR="00AD3486" w:rsidRPr="008436E8">
        <w:rPr>
          <w:color w:val="000000"/>
          <w:shd w:val="clear" w:color="auto" w:fill="FFFFFF"/>
          <w:lang w:eastAsia="lt-LT"/>
        </w:rPr>
        <w:t xml:space="preserve">yloje yra kilęs ginčas dėl </w:t>
      </w:r>
      <w:bookmarkStart w:id="2" w:name="n_13_Copy_1_Copy_1"/>
      <w:bookmarkEnd w:id="2"/>
      <w:r w:rsidR="00AD3486" w:rsidRPr="008436E8">
        <w:rPr>
          <w:color w:val="000000"/>
          <w:shd w:val="clear" w:color="auto" w:fill="FFFFFF"/>
          <w:lang w:eastAsia="lt-LT"/>
        </w:rPr>
        <w:t>BK 281</w:t>
      </w:r>
      <w:r w:rsidR="0030387B" w:rsidRPr="008436E8">
        <w:rPr>
          <w:color w:val="000000"/>
          <w:shd w:val="clear" w:color="auto" w:fill="FFFFFF"/>
          <w:vertAlign w:val="superscript"/>
          <w:lang w:eastAsia="lt-LT"/>
        </w:rPr>
        <w:t>1</w:t>
      </w:r>
      <w:r w:rsidR="00B21055" w:rsidRPr="008436E8">
        <w:rPr>
          <w:color w:val="000000"/>
          <w:shd w:val="clear" w:color="auto" w:fill="FFFFFF"/>
          <w:lang w:eastAsia="lt-LT"/>
        </w:rPr>
        <w:t xml:space="preserve"> </w:t>
      </w:r>
      <w:r w:rsidR="00B21055" w:rsidRPr="008436E8">
        <w:rPr>
          <w:rFonts w:asciiTheme="majorBidi" w:hAnsiTheme="majorBidi" w:cstheme="majorBidi"/>
          <w:color w:val="000000"/>
          <w:shd w:val="clear" w:color="auto" w:fill="FFFFFF"/>
        </w:rPr>
        <w:t>straipsnio</w:t>
      </w:r>
      <w:r w:rsidR="00B21055" w:rsidRPr="008436E8">
        <w:rPr>
          <w:color w:val="000000"/>
          <w:shd w:val="clear" w:color="auto" w:fill="FFFFFF"/>
          <w:lang w:eastAsia="lt-LT"/>
        </w:rPr>
        <w:t xml:space="preserve"> </w:t>
      </w:r>
      <w:r w:rsidR="00AD3486" w:rsidRPr="008436E8">
        <w:rPr>
          <w:color w:val="000000"/>
          <w:shd w:val="clear" w:color="auto" w:fill="FFFFFF"/>
          <w:lang w:eastAsia="lt-LT"/>
        </w:rPr>
        <w:t>1</w:t>
      </w:r>
      <w:r w:rsidR="00B21055" w:rsidRPr="008436E8">
        <w:rPr>
          <w:color w:val="000000"/>
          <w:shd w:val="clear" w:color="auto" w:fill="FFFFFF"/>
          <w:lang w:eastAsia="lt-LT"/>
        </w:rPr>
        <w:t xml:space="preserve"> dalies</w:t>
      </w:r>
      <w:r w:rsidR="00AD3486" w:rsidRPr="008436E8">
        <w:rPr>
          <w:color w:val="000000"/>
          <w:shd w:val="clear" w:color="auto" w:fill="FFFFFF"/>
          <w:lang w:eastAsia="lt-LT"/>
        </w:rPr>
        <w:t xml:space="preserve"> taikymo, nustatant</w:t>
      </w:r>
      <w:r w:rsidR="00B21055" w:rsidRPr="008436E8">
        <w:rPr>
          <w:color w:val="000000"/>
          <w:shd w:val="clear" w:color="auto" w:fill="FFFFFF"/>
          <w:lang w:eastAsia="lt-LT"/>
        </w:rPr>
        <w:t xml:space="preserve">, </w:t>
      </w:r>
      <w:r w:rsidR="00AD3486" w:rsidRPr="008436E8">
        <w:rPr>
          <w:color w:val="000000"/>
          <w:shd w:val="clear" w:color="auto" w:fill="FFFFFF"/>
          <w:lang w:eastAsia="lt-LT"/>
        </w:rPr>
        <w:t>ar asmens vairuotas savadarbis motorinis dviratis laikytinas motorine transporto priemone</w:t>
      </w:r>
      <w:r w:rsidR="00B21055" w:rsidRPr="008436E8">
        <w:rPr>
          <w:color w:val="000000"/>
          <w:shd w:val="clear" w:color="auto" w:fill="FFFFFF"/>
          <w:lang w:eastAsia="lt-LT"/>
        </w:rPr>
        <w:t xml:space="preserve"> ir</w:t>
      </w:r>
      <w:r w:rsidR="00AD3486" w:rsidRPr="008436E8">
        <w:rPr>
          <w:color w:val="000000"/>
          <w:shd w:val="clear" w:color="auto" w:fill="FFFFFF"/>
          <w:lang w:eastAsia="lt-LT"/>
        </w:rPr>
        <w:t xml:space="preserve"> kokia – motoriniu dviračiu, mopedu ar motociklu BK 281</w:t>
      </w:r>
      <w:r w:rsidR="0030387B" w:rsidRPr="008436E8">
        <w:rPr>
          <w:color w:val="000000"/>
          <w:shd w:val="clear" w:color="auto" w:fill="FFFFFF"/>
          <w:vertAlign w:val="superscript"/>
          <w:lang w:eastAsia="lt-LT"/>
        </w:rPr>
        <w:t>1</w:t>
      </w:r>
      <w:r w:rsidR="00AD3486" w:rsidRPr="008436E8">
        <w:rPr>
          <w:color w:val="000000"/>
          <w:shd w:val="clear" w:color="auto" w:fill="FFFFFF"/>
          <w:lang w:eastAsia="lt-LT"/>
        </w:rPr>
        <w:t xml:space="preserve"> </w:t>
      </w:r>
      <w:r w:rsidR="00B21055" w:rsidRPr="008436E8">
        <w:rPr>
          <w:rFonts w:asciiTheme="majorBidi" w:hAnsiTheme="majorBidi" w:cstheme="majorBidi"/>
          <w:color w:val="000000"/>
          <w:shd w:val="clear" w:color="auto" w:fill="FFFFFF"/>
        </w:rPr>
        <w:t>straipsnio</w:t>
      </w:r>
      <w:r w:rsidR="00B21055" w:rsidRPr="008436E8">
        <w:rPr>
          <w:color w:val="000000"/>
          <w:shd w:val="clear" w:color="auto" w:fill="FFFFFF"/>
          <w:lang w:eastAsia="lt-LT"/>
        </w:rPr>
        <w:t xml:space="preserve"> </w:t>
      </w:r>
      <w:r w:rsidR="00AD3486" w:rsidRPr="008436E8">
        <w:rPr>
          <w:color w:val="000000"/>
          <w:shd w:val="clear" w:color="auto" w:fill="FFFFFF"/>
          <w:lang w:eastAsia="lt-LT"/>
        </w:rPr>
        <w:t>1 d</w:t>
      </w:r>
      <w:r w:rsidR="00B21055" w:rsidRPr="008436E8">
        <w:rPr>
          <w:color w:val="000000"/>
          <w:shd w:val="clear" w:color="auto" w:fill="FFFFFF"/>
          <w:lang w:eastAsia="lt-LT"/>
        </w:rPr>
        <w:t xml:space="preserve">alies </w:t>
      </w:r>
      <w:r w:rsidR="00AD3486" w:rsidRPr="008436E8">
        <w:rPr>
          <w:color w:val="000000"/>
          <w:shd w:val="clear" w:color="auto" w:fill="FFFFFF"/>
          <w:lang w:eastAsia="lt-LT"/>
        </w:rPr>
        <w:t xml:space="preserve">prasme. </w:t>
      </w:r>
    </w:p>
    <w:p w14:paraId="59EBA3F1" w14:textId="055BDE8C" w:rsidR="00FB08F4" w:rsidRPr="009C47A2" w:rsidRDefault="00315A1D" w:rsidP="00FB08F4">
      <w:pPr>
        <w:pStyle w:val="Pagrindinistekstas"/>
        <w:numPr>
          <w:ilvl w:val="1"/>
          <w:numId w:val="26"/>
        </w:numPr>
        <w:spacing w:after="120"/>
        <w:rPr>
          <w:rFonts w:asciiTheme="majorBidi" w:hAnsiTheme="majorBidi" w:cstheme="majorBidi"/>
        </w:rPr>
      </w:pPr>
      <w:r w:rsidRPr="008436E8">
        <w:rPr>
          <w:rFonts w:asciiTheme="majorBidi" w:hAnsiTheme="majorBidi" w:cstheme="majorBidi"/>
        </w:rPr>
        <w:t xml:space="preserve">Apeliacinės instancijos teismas konstatavo, kad motorinį dviratį vairuojančiam asmeniui, kuris tai daro būdamas neblaivus, </w:t>
      </w:r>
      <w:r w:rsidR="00A530D9" w:rsidRPr="008436E8">
        <w:rPr>
          <w:rFonts w:asciiTheme="majorBidi" w:hAnsiTheme="majorBidi" w:cstheme="majorBidi"/>
        </w:rPr>
        <w:t xml:space="preserve">kai </w:t>
      </w:r>
      <w:r w:rsidRPr="008436E8">
        <w:rPr>
          <w:rFonts w:asciiTheme="majorBidi" w:hAnsiTheme="majorBidi" w:cstheme="majorBidi"/>
        </w:rPr>
        <w:t>jam nustatomas didesnis nei 1,51 promilės girtumas, galima tiek baudžiamoji, tiek administracinė atsakomybė</w:t>
      </w:r>
      <w:r w:rsidRPr="008436E8">
        <w:rPr>
          <w:rFonts w:asciiTheme="majorBidi" w:hAnsiTheme="majorBidi" w:cstheme="majorBidi"/>
          <w:shd w:val="clear" w:color="auto" w:fill="FFFFFF"/>
        </w:rPr>
        <w:t xml:space="preserve">. </w:t>
      </w:r>
      <w:r w:rsidRPr="008436E8">
        <w:rPr>
          <w:rFonts w:asciiTheme="majorBidi" w:hAnsiTheme="majorBidi" w:cstheme="majorBidi"/>
        </w:rPr>
        <w:t xml:space="preserve">Tokia teismo išvada </w:t>
      </w:r>
      <w:r w:rsidR="00AD3486" w:rsidRPr="008436E8">
        <w:rPr>
          <w:rFonts w:asciiTheme="majorBidi" w:hAnsiTheme="majorBidi" w:cstheme="majorBidi"/>
        </w:rPr>
        <w:t xml:space="preserve">iškelia skirtingų </w:t>
      </w:r>
      <w:r w:rsidRPr="008436E8">
        <w:rPr>
          <w:rFonts w:asciiTheme="majorBidi" w:hAnsiTheme="majorBidi" w:cstheme="majorBidi"/>
        </w:rPr>
        <w:t xml:space="preserve">– administracinės ir baudžiamosios – </w:t>
      </w:r>
      <w:r w:rsidR="00AD3486" w:rsidRPr="008436E8">
        <w:rPr>
          <w:rFonts w:asciiTheme="majorBidi" w:hAnsiTheme="majorBidi" w:cstheme="majorBidi"/>
        </w:rPr>
        <w:t xml:space="preserve">teisinės atsakomybės materialiosios teisės normų </w:t>
      </w:r>
      <w:r w:rsidRPr="008436E8">
        <w:rPr>
          <w:rFonts w:asciiTheme="majorBidi" w:hAnsiTheme="majorBidi" w:cstheme="majorBidi"/>
        </w:rPr>
        <w:t xml:space="preserve">– </w:t>
      </w:r>
      <w:r w:rsidR="00E34E03" w:rsidRPr="008436E8">
        <w:rPr>
          <w:rFonts w:asciiTheme="majorBidi" w:hAnsiTheme="majorBidi" w:cstheme="majorBidi"/>
        </w:rPr>
        <w:t xml:space="preserve">Lietuvos Respublikos administracinių nusižengimų kodekso (toliau – </w:t>
      </w:r>
      <w:r w:rsidR="00AD3486" w:rsidRPr="008436E8">
        <w:rPr>
          <w:rFonts w:asciiTheme="majorBidi" w:hAnsiTheme="majorBidi" w:cstheme="majorBidi"/>
        </w:rPr>
        <w:t>ANK</w:t>
      </w:r>
      <w:r w:rsidR="00E34E03" w:rsidRPr="008436E8">
        <w:rPr>
          <w:rFonts w:asciiTheme="majorBidi" w:hAnsiTheme="majorBidi" w:cstheme="majorBidi"/>
        </w:rPr>
        <w:t>)</w:t>
      </w:r>
      <w:r w:rsidR="00AD3486" w:rsidRPr="008436E8">
        <w:rPr>
          <w:rFonts w:asciiTheme="majorBidi" w:hAnsiTheme="majorBidi" w:cstheme="majorBidi"/>
        </w:rPr>
        <w:t xml:space="preserve"> 426</w:t>
      </w:r>
      <w:r w:rsidR="00A530D9" w:rsidRPr="008436E8">
        <w:rPr>
          <w:rFonts w:asciiTheme="majorBidi" w:hAnsiTheme="majorBidi" w:cstheme="majorBidi"/>
        </w:rPr>
        <w:t> </w:t>
      </w:r>
      <w:r w:rsidR="0013252C" w:rsidRPr="008436E8">
        <w:rPr>
          <w:rFonts w:asciiTheme="majorBidi" w:hAnsiTheme="majorBidi" w:cstheme="majorBidi"/>
          <w:color w:val="000000"/>
          <w:lang w:eastAsia="lt-LT" w:bidi="lt-LT"/>
        </w:rPr>
        <w:t>str</w:t>
      </w:r>
      <w:r w:rsidR="0013252C" w:rsidRPr="008436E8">
        <w:rPr>
          <w:rFonts w:asciiTheme="majorBidi" w:hAnsiTheme="majorBidi" w:cstheme="majorBidi"/>
        </w:rPr>
        <w:t xml:space="preserve">aipsnio </w:t>
      </w:r>
      <w:r w:rsidR="00AD3486" w:rsidRPr="008436E8">
        <w:rPr>
          <w:rFonts w:asciiTheme="majorBidi" w:hAnsiTheme="majorBidi" w:cstheme="majorBidi"/>
        </w:rPr>
        <w:t>8 d</w:t>
      </w:r>
      <w:r w:rsidRPr="008436E8">
        <w:rPr>
          <w:rFonts w:asciiTheme="majorBidi" w:hAnsiTheme="majorBidi" w:cstheme="majorBidi"/>
        </w:rPr>
        <w:t>alies</w:t>
      </w:r>
      <w:r w:rsidR="00AD3486" w:rsidRPr="008436E8">
        <w:rPr>
          <w:rFonts w:asciiTheme="majorBidi" w:hAnsiTheme="majorBidi" w:cstheme="majorBidi"/>
        </w:rPr>
        <w:t xml:space="preserve"> ir BK </w:t>
      </w:r>
      <w:r w:rsidR="00AD3486" w:rsidRPr="008436E8">
        <w:rPr>
          <w:rFonts w:asciiTheme="majorBidi" w:hAnsiTheme="majorBidi" w:cstheme="majorBidi"/>
          <w:color w:val="000000"/>
        </w:rPr>
        <w:t>281</w:t>
      </w:r>
      <w:r w:rsidR="00572DF2" w:rsidRPr="008436E8">
        <w:rPr>
          <w:color w:val="000000"/>
          <w:shd w:val="clear" w:color="auto" w:fill="FFFFFF"/>
          <w:vertAlign w:val="superscript"/>
          <w:lang w:eastAsia="lt-LT"/>
        </w:rPr>
        <w:t>1</w:t>
      </w:r>
      <w:r w:rsidRPr="008436E8">
        <w:rPr>
          <w:rFonts w:asciiTheme="majorBidi" w:hAnsiTheme="majorBidi" w:cstheme="majorBidi"/>
          <w:color w:val="000000"/>
        </w:rPr>
        <w:t xml:space="preserve"> </w:t>
      </w:r>
      <w:r w:rsidR="00AD3486" w:rsidRPr="008436E8">
        <w:rPr>
          <w:rFonts w:asciiTheme="majorBidi" w:hAnsiTheme="majorBidi" w:cstheme="majorBidi"/>
          <w:color w:val="000000"/>
        </w:rPr>
        <w:t>str</w:t>
      </w:r>
      <w:r w:rsidRPr="008436E8">
        <w:rPr>
          <w:rFonts w:asciiTheme="majorBidi" w:hAnsiTheme="majorBidi" w:cstheme="majorBidi"/>
          <w:color w:val="000000"/>
        </w:rPr>
        <w:t xml:space="preserve">aipsnio </w:t>
      </w:r>
      <w:r w:rsidR="00AD3486" w:rsidRPr="008436E8">
        <w:rPr>
          <w:rFonts w:asciiTheme="majorBidi" w:hAnsiTheme="majorBidi" w:cstheme="majorBidi"/>
          <w:color w:val="000000"/>
        </w:rPr>
        <w:t>1</w:t>
      </w:r>
      <w:r w:rsidRPr="008436E8">
        <w:rPr>
          <w:rFonts w:asciiTheme="majorBidi" w:hAnsiTheme="majorBidi" w:cstheme="majorBidi"/>
          <w:color w:val="000000"/>
        </w:rPr>
        <w:t xml:space="preserve"> </w:t>
      </w:r>
      <w:r w:rsidR="00AD3486" w:rsidRPr="008436E8">
        <w:rPr>
          <w:rFonts w:asciiTheme="majorBidi" w:hAnsiTheme="majorBidi" w:cstheme="majorBidi"/>
          <w:color w:val="000000"/>
        </w:rPr>
        <w:t>d</w:t>
      </w:r>
      <w:r w:rsidRPr="008436E8">
        <w:rPr>
          <w:rFonts w:asciiTheme="majorBidi" w:hAnsiTheme="majorBidi" w:cstheme="majorBidi"/>
          <w:color w:val="000000"/>
        </w:rPr>
        <w:t>alies</w:t>
      </w:r>
      <w:r w:rsidR="00AD3486" w:rsidRPr="008436E8">
        <w:rPr>
          <w:rFonts w:asciiTheme="majorBidi" w:hAnsiTheme="majorBidi" w:cstheme="majorBidi"/>
          <w:color w:val="000000"/>
        </w:rPr>
        <w:t xml:space="preserve"> taikymo ir aiškinimo problemą, </w:t>
      </w:r>
      <w:r w:rsidRPr="008436E8">
        <w:rPr>
          <w:rFonts w:asciiTheme="majorBidi" w:hAnsiTheme="majorBidi" w:cstheme="majorBidi"/>
          <w:color w:val="000000"/>
        </w:rPr>
        <w:t>nes n</w:t>
      </w:r>
      <w:r w:rsidR="00AD3486" w:rsidRPr="008436E8">
        <w:rPr>
          <w:rFonts w:asciiTheme="majorBidi" w:hAnsiTheme="majorBidi" w:cstheme="majorBidi"/>
        </w:rPr>
        <w:t xml:space="preserve">ustačius, </w:t>
      </w:r>
      <w:r w:rsidRPr="008436E8">
        <w:rPr>
          <w:rFonts w:asciiTheme="majorBidi" w:hAnsiTheme="majorBidi" w:cstheme="majorBidi"/>
        </w:rPr>
        <w:t>kad</w:t>
      </w:r>
      <w:r w:rsidR="00AD3486" w:rsidRPr="008436E8">
        <w:rPr>
          <w:rFonts w:asciiTheme="majorBidi" w:hAnsiTheme="majorBidi" w:cstheme="majorBidi"/>
        </w:rPr>
        <w:t xml:space="preserve"> asmuo neblaivus vairavo motorinę transporto priemonę, </w:t>
      </w:r>
      <w:r w:rsidR="008436E8" w:rsidRPr="008436E8">
        <w:rPr>
          <w:rFonts w:asciiTheme="majorBidi" w:hAnsiTheme="majorBidi" w:cstheme="majorBidi"/>
        </w:rPr>
        <w:t xml:space="preserve">pagal </w:t>
      </w:r>
      <w:r w:rsidR="00AD3486" w:rsidRPr="008436E8">
        <w:rPr>
          <w:rFonts w:asciiTheme="majorBidi" w:hAnsiTheme="majorBidi" w:cstheme="majorBidi"/>
          <w:color w:val="151515"/>
        </w:rPr>
        <w:t>SEAKĮ</w:t>
      </w:r>
      <w:r w:rsidR="008F7781" w:rsidRPr="008436E8">
        <w:rPr>
          <w:rFonts w:asciiTheme="majorBidi" w:hAnsiTheme="majorBidi" w:cstheme="majorBidi"/>
          <w:color w:val="151515"/>
        </w:rPr>
        <w:t> </w:t>
      </w:r>
      <w:r w:rsidR="00AD3486" w:rsidRPr="008436E8">
        <w:rPr>
          <w:rFonts w:asciiTheme="majorBidi" w:hAnsiTheme="majorBidi" w:cstheme="majorBidi"/>
          <w:color w:val="151515"/>
        </w:rPr>
        <w:t>2</w:t>
      </w:r>
      <w:r w:rsidR="00A530D9" w:rsidRPr="008436E8">
        <w:rPr>
          <w:rFonts w:asciiTheme="majorBidi" w:hAnsiTheme="majorBidi" w:cstheme="majorBidi"/>
          <w:color w:val="151515"/>
        </w:rPr>
        <w:t> </w:t>
      </w:r>
      <w:r w:rsidR="00AD3486" w:rsidRPr="008436E8">
        <w:rPr>
          <w:rFonts w:asciiTheme="majorBidi" w:hAnsiTheme="majorBidi" w:cstheme="majorBidi"/>
          <w:color w:val="151515"/>
        </w:rPr>
        <w:t>str</w:t>
      </w:r>
      <w:r w:rsidR="00787287" w:rsidRPr="008436E8">
        <w:rPr>
          <w:rFonts w:asciiTheme="majorBidi" w:hAnsiTheme="majorBidi" w:cstheme="majorBidi"/>
          <w:color w:val="151515"/>
        </w:rPr>
        <w:t>aipsnio</w:t>
      </w:r>
      <w:r w:rsidR="00AD3486" w:rsidRPr="008436E8">
        <w:rPr>
          <w:rFonts w:asciiTheme="majorBidi" w:hAnsiTheme="majorBidi" w:cstheme="majorBidi"/>
          <w:color w:val="151515"/>
        </w:rPr>
        <w:t xml:space="preserve"> 40 d</w:t>
      </w:r>
      <w:r w:rsidR="00787287" w:rsidRPr="008436E8">
        <w:rPr>
          <w:rFonts w:asciiTheme="majorBidi" w:hAnsiTheme="majorBidi" w:cstheme="majorBidi"/>
          <w:color w:val="151515"/>
        </w:rPr>
        <w:t xml:space="preserve">alyje </w:t>
      </w:r>
      <w:r w:rsidR="00AD3486" w:rsidRPr="008436E8">
        <w:rPr>
          <w:rFonts w:asciiTheme="majorBidi" w:hAnsiTheme="majorBidi" w:cstheme="majorBidi"/>
          <w:color w:val="151515"/>
        </w:rPr>
        <w:t>pateiktą motorinio dviračio sampratą tampa neaišku, kas lemia administracinės ar baudžiamosios atsakomybės kilimą.</w:t>
      </w:r>
      <w:r w:rsidR="00D67A63" w:rsidRPr="008436E8">
        <w:rPr>
          <w:rFonts w:asciiTheme="majorBidi" w:hAnsiTheme="majorBidi" w:cstheme="majorBidi"/>
          <w:color w:val="151515"/>
        </w:rPr>
        <w:t xml:space="preserve"> </w:t>
      </w:r>
      <w:bookmarkStart w:id="3" w:name="Buk_18"/>
    </w:p>
    <w:p w14:paraId="68C6EAC2" w14:textId="73E848F2" w:rsidR="00FB08F4" w:rsidRPr="008436E8" w:rsidRDefault="009C47A2" w:rsidP="00FB08F4">
      <w:pPr>
        <w:pStyle w:val="Pagrindinistekstas"/>
        <w:numPr>
          <w:ilvl w:val="1"/>
          <w:numId w:val="26"/>
        </w:numPr>
        <w:spacing w:after="120"/>
        <w:rPr>
          <w:rFonts w:asciiTheme="majorBidi" w:hAnsiTheme="majorBidi" w:cstheme="majorBidi"/>
        </w:rPr>
      </w:pPr>
      <w:bookmarkStart w:id="4" w:name="Buk_33"/>
      <w:bookmarkEnd w:id="3"/>
      <w:r w:rsidRPr="009C47A2">
        <w:rPr>
          <w:rFonts w:asciiTheme="majorBidi" w:hAnsiTheme="majorBidi" w:cstheme="majorBidi"/>
          <w:iCs/>
        </w:rPr>
        <w:t>L. L.</w:t>
      </w:r>
      <w:bookmarkEnd w:id="4"/>
      <w:r w:rsidR="009E79CD" w:rsidRPr="008436E8">
        <w:rPr>
          <w:rFonts w:asciiTheme="majorBidi" w:hAnsiTheme="majorBidi" w:cstheme="majorBidi"/>
          <w:iCs/>
          <w:color w:val="000000"/>
        </w:rPr>
        <w:t>, būdamas neblaivus, važiavo savadarbe dvi</w:t>
      </w:r>
      <w:r w:rsidR="009E79CD" w:rsidRPr="008436E8">
        <w:rPr>
          <w:rFonts w:asciiTheme="majorBidi" w:hAnsiTheme="majorBidi" w:cstheme="majorBidi"/>
          <w:iCs/>
          <w:color w:val="000000"/>
          <w:shd w:val="clear" w:color="auto" w:fill="FFFFFF"/>
        </w:rPr>
        <w:t xml:space="preserve">rate transporto priemone su </w:t>
      </w:r>
      <w:r w:rsidR="00A530D9" w:rsidRPr="008436E8">
        <w:rPr>
          <w:rFonts w:asciiTheme="majorBidi" w:hAnsiTheme="majorBidi" w:cstheme="majorBidi"/>
          <w:iCs/>
          <w:color w:val="000000"/>
          <w:shd w:val="clear" w:color="auto" w:fill="FFFFFF"/>
        </w:rPr>
        <w:t>sav</w:t>
      </w:r>
      <w:r w:rsidR="009E79CD" w:rsidRPr="008436E8">
        <w:rPr>
          <w:rFonts w:asciiTheme="majorBidi" w:hAnsiTheme="majorBidi" w:cstheme="majorBidi"/>
          <w:iCs/>
          <w:color w:val="000000"/>
          <w:shd w:val="clear" w:color="auto" w:fill="FFFFFF"/>
        </w:rPr>
        <w:t>o</w:t>
      </w:r>
      <w:r w:rsidR="009E79CD" w:rsidRPr="008436E8">
        <w:rPr>
          <w:rFonts w:asciiTheme="majorBidi" w:hAnsiTheme="majorBidi" w:cstheme="majorBidi"/>
          <w:iCs/>
          <w:color w:val="000000"/>
        </w:rPr>
        <w:t xml:space="preserve"> paties turguje įsigytu ir ant dviračio sumontuotu benzininiu vidaus degimo varikliu, variklio techninių specifikacijų (techninio paso) jis neturėjo ir tyrimo metu nepateikė. Išteisintasis važiavo neturėdamas teisės vairuoti </w:t>
      </w:r>
      <w:r w:rsidR="00A530D9" w:rsidRPr="008436E8">
        <w:rPr>
          <w:rFonts w:asciiTheme="majorBidi" w:hAnsiTheme="majorBidi" w:cstheme="majorBidi"/>
          <w:iCs/>
          <w:color w:val="000000"/>
        </w:rPr>
        <w:t xml:space="preserve">motorines </w:t>
      </w:r>
      <w:r w:rsidR="009E79CD" w:rsidRPr="008436E8">
        <w:rPr>
          <w:rFonts w:asciiTheme="majorBidi" w:hAnsiTheme="majorBidi" w:cstheme="majorBidi"/>
          <w:iCs/>
          <w:color w:val="000000"/>
        </w:rPr>
        <w:t xml:space="preserve">transporto </w:t>
      </w:r>
      <w:r w:rsidR="00A530D9" w:rsidRPr="008436E8">
        <w:rPr>
          <w:rFonts w:asciiTheme="majorBidi" w:hAnsiTheme="majorBidi" w:cstheme="majorBidi"/>
          <w:iCs/>
          <w:color w:val="000000"/>
        </w:rPr>
        <w:t>priemones</w:t>
      </w:r>
      <w:r w:rsidR="009E79CD" w:rsidRPr="008436E8">
        <w:rPr>
          <w:rFonts w:asciiTheme="majorBidi" w:hAnsiTheme="majorBidi" w:cstheme="majorBidi"/>
          <w:iCs/>
          <w:color w:val="000000"/>
        </w:rPr>
        <w:t xml:space="preserve">, kai ši teisė jam </w:t>
      </w:r>
      <w:r w:rsidR="008801C9" w:rsidRPr="008436E8">
        <w:rPr>
          <w:rFonts w:asciiTheme="majorBidi" w:hAnsiTheme="majorBidi" w:cstheme="majorBidi"/>
          <w:iCs/>
          <w:color w:val="000000"/>
        </w:rPr>
        <w:t xml:space="preserve">buvo </w:t>
      </w:r>
      <w:r w:rsidR="009E79CD" w:rsidRPr="008436E8">
        <w:rPr>
          <w:rFonts w:asciiTheme="majorBidi" w:hAnsiTheme="majorBidi" w:cstheme="majorBidi"/>
          <w:iCs/>
          <w:color w:val="000000"/>
        </w:rPr>
        <w:t xml:space="preserve">atimta, </w:t>
      </w:r>
      <w:r w:rsidR="00416037" w:rsidRPr="008436E8">
        <w:rPr>
          <w:rFonts w:asciiTheme="majorBidi" w:hAnsiTheme="majorBidi" w:cstheme="majorBidi"/>
          <w:iCs/>
          <w:color w:val="000000"/>
        </w:rPr>
        <w:t xml:space="preserve">išteisintojo </w:t>
      </w:r>
      <w:r w:rsidR="009E79CD" w:rsidRPr="008436E8">
        <w:rPr>
          <w:rFonts w:asciiTheme="majorBidi" w:hAnsiTheme="majorBidi" w:cstheme="majorBidi"/>
          <w:iCs/>
          <w:color w:val="000000"/>
        </w:rPr>
        <w:t xml:space="preserve">vairuotas motorinis dviratis neįregistruotas nustatyta tvarka, neatlikta </w:t>
      </w:r>
      <w:r w:rsidR="00A530D9" w:rsidRPr="008436E8">
        <w:rPr>
          <w:rFonts w:asciiTheme="majorBidi" w:hAnsiTheme="majorBidi" w:cstheme="majorBidi"/>
          <w:iCs/>
          <w:color w:val="000000"/>
        </w:rPr>
        <w:t xml:space="preserve">jo </w:t>
      </w:r>
      <w:r w:rsidR="009E79CD" w:rsidRPr="008436E8">
        <w:rPr>
          <w:rFonts w:asciiTheme="majorBidi" w:hAnsiTheme="majorBidi" w:cstheme="majorBidi"/>
          <w:iCs/>
          <w:color w:val="000000"/>
        </w:rPr>
        <w:t xml:space="preserve">valstybinė techninė apžiūra, </w:t>
      </w:r>
      <w:r w:rsidR="00A530D9" w:rsidRPr="008436E8">
        <w:rPr>
          <w:rFonts w:asciiTheme="majorBidi" w:hAnsiTheme="majorBidi" w:cstheme="majorBidi"/>
          <w:iCs/>
          <w:color w:val="000000"/>
        </w:rPr>
        <w:t xml:space="preserve">jis </w:t>
      </w:r>
      <w:r w:rsidR="009E79CD" w:rsidRPr="008436E8">
        <w:rPr>
          <w:rFonts w:asciiTheme="majorBidi" w:hAnsiTheme="majorBidi" w:cstheme="majorBidi"/>
          <w:iCs/>
          <w:color w:val="000000"/>
        </w:rPr>
        <w:t xml:space="preserve">neapdraustas privalomuoju civilinės atsakomybės draudimu. </w:t>
      </w:r>
      <w:r w:rsidR="00A530D9" w:rsidRPr="008436E8">
        <w:rPr>
          <w:rFonts w:asciiTheme="majorBidi" w:hAnsiTheme="majorBidi" w:cstheme="majorBidi"/>
          <w:iCs/>
          <w:color w:val="000000"/>
        </w:rPr>
        <w:t>Per e</w:t>
      </w:r>
      <w:r w:rsidR="009E79CD" w:rsidRPr="008436E8">
        <w:rPr>
          <w:rFonts w:asciiTheme="majorBidi" w:hAnsiTheme="majorBidi" w:cstheme="majorBidi"/>
          <w:iCs/>
          <w:color w:val="000000"/>
        </w:rPr>
        <w:t>kspertin</w:t>
      </w:r>
      <w:r w:rsidR="00A530D9" w:rsidRPr="008436E8">
        <w:rPr>
          <w:rFonts w:asciiTheme="majorBidi" w:hAnsiTheme="majorBidi" w:cstheme="majorBidi"/>
          <w:iCs/>
          <w:color w:val="000000"/>
        </w:rPr>
        <w:t>į</w:t>
      </w:r>
      <w:r w:rsidR="009E79CD" w:rsidRPr="008436E8">
        <w:rPr>
          <w:rFonts w:asciiTheme="majorBidi" w:hAnsiTheme="majorBidi" w:cstheme="majorBidi"/>
          <w:iCs/>
          <w:color w:val="000000"/>
        </w:rPr>
        <w:t xml:space="preserve"> </w:t>
      </w:r>
      <w:r w:rsidR="00A530D9" w:rsidRPr="008436E8">
        <w:rPr>
          <w:rFonts w:asciiTheme="majorBidi" w:hAnsiTheme="majorBidi" w:cstheme="majorBidi"/>
          <w:iCs/>
          <w:color w:val="000000"/>
        </w:rPr>
        <w:t>vertinimą</w:t>
      </w:r>
      <w:r w:rsidR="009E79CD" w:rsidRPr="008436E8">
        <w:rPr>
          <w:rFonts w:asciiTheme="majorBidi" w:hAnsiTheme="majorBidi" w:cstheme="majorBidi"/>
          <w:iCs/>
          <w:color w:val="000000"/>
        </w:rPr>
        <w:t xml:space="preserve"> nustatyta, kad tyrimui pateiktas objektas yra savadarbis motorinis dviratis. A</w:t>
      </w:r>
      <w:r w:rsidR="009E79CD" w:rsidRPr="008436E8">
        <w:rPr>
          <w:rFonts w:asciiTheme="majorBidi" w:hAnsiTheme="majorBidi" w:cstheme="majorBidi"/>
          <w:iCs/>
          <w:color w:val="151515"/>
        </w:rPr>
        <w:t>nt jo sumontuoto variklio mechaninė galia yra apie 0,74 kW, variklio darbinis tūris yra apie 66</w:t>
      </w:r>
      <w:r w:rsidR="00A21A6A" w:rsidRPr="008436E8">
        <w:rPr>
          <w:rFonts w:asciiTheme="majorBidi" w:hAnsiTheme="majorBidi" w:cstheme="majorBidi"/>
          <w:iCs/>
          <w:color w:val="151515"/>
        </w:rPr>
        <w:t> </w:t>
      </w:r>
      <w:r w:rsidR="00A530D9" w:rsidRPr="008436E8">
        <w:rPr>
          <w:rFonts w:asciiTheme="majorBidi" w:hAnsiTheme="majorBidi" w:cstheme="majorBidi"/>
          <w:iCs/>
          <w:color w:val="151515"/>
        </w:rPr>
        <w:t xml:space="preserve">kub. </w:t>
      </w:r>
      <w:r w:rsidR="009E79CD" w:rsidRPr="008436E8">
        <w:rPr>
          <w:rFonts w:asciiTheme="majorBidi" w:hAnsiTheme="majorBidi" w:cstheme="majorBidi"/>
          <w:iCs/>
          <w:color w:val="151515"/>
        </w:rPr>
        <w:t xml:space="preserve">cm, o </w:t>
      </w:r>
      <w:r w:rsidR="009E79CD" w:rsidRPr="008436E8">
        <w:rPr>
          <w:rFonts w:asciiTheme="majorBidi" w:hAnsiTheme="majorBidi" w:cstheme="majorBidi"/>
        </w:rPr>
        <w:t xml:space="preserve">tiriamo motorizuoto dviračio maksimalus greitis važiuojant lygiu asfaltu yra 43 ± 1 km/h ir </w:t>
      </w:r>
      <w:r w:rsidR="009E79CD" w:rsidRPr="008436E8">
        <w:rPr>
          <w:rFonts w:asciiTheme="majorBidi" w:hAnsiTheme="majorBidi" w:cstheme="majorBidi"/>
          <w:color w:val="000000"/>
          <w:shd w:val="clear" w:color="auto" w:fill="FFFFFF"/>
        </w:rPr>
        <w:t>neturi apribojimo</w:t>
      </w:r>
      <w:r w:rsidR="00A530D9" w:rsidRPr="008436E8">
        <w:rPr>
          <w:rFonts w:asciiTheme="majorBidi" w:hAnsiTheme="majorBidi" w:cstheme="majorBidi"/>
          <w:color w:val="000000"/>
          <w:shd w:val="clear" w:color="auto" w:fill="FFFFFF"/>
        </w:rPr>
        <w:t>,</w:t>
      </w:r>
      <w:r w:rsidR="009E79CD" w:rsidRPr="008436E8">
        <w:rPr>
          <w:rFonts w:asciiTheme="majorBidi" w:hAnsiTheme="majorBidi" w:cstheme="majorBidi"/>
          <w:color w:val="000000"/>
          <w:shd w:val="clear" w:color="auto" w:fill="FFFFFF"/>
        </w:rPr>
        <w:t xml:space="preserve"> užtikrinančio, kad leistinas maksimalus greitis neviršytų 25</w:t>
      </w:r>
      <w:r w:rsidR="00A21A6A" w:rsidRPr="008436E8">
        <w:rPr>
          <w:rFonts w:asciiTheme="majorBidi" w:hAnsiTheme="majorBidi" w:cstheme="majorBidi"/>
          <w:color w:val="000000"/>
          <w:shd w:val="clear" w:color="auto" w:fill="FFFFFF"/>
        </w:rPr>
        <w:t> </w:t>
      </w:r>
      <w:r w:rsidR="009E79CD" w:rsidRPr="008436E8">
        <w:rPr>
          <w:rFonts w:asciiTheme="majorBidi" w:hAnsiTheme="majorBidi" w:cstheme="majorBidi"/>
          <w:color w:val="000000"/>
          <w:shd w:val="clear" w:color="auto" w:fill="FFFFFF"/>
        </w:rPr>
        <w:t>km/h.</w:t>
      </w:r>
    </w:p>
    <w:p w14:paraId="0E14F6E4" w14:textId="233F47A1" w:rsidR="00FB08F4" w:rsidRPr="008436E8" w:rsidRDefault="00AD3486" w:rsidP="00FB08F4">
      <w:pPr>
        <w:pStyle w:val="Pagrindinistekstas"/>
        <w:numPr>
          <w:ilvl w:val="1"/>
          <w:numId w:val="26"/>
        </w:numPr>
        <w:spacing w:after="120"/>
        <w:rPr>
          <w:rFonts w:asciiTheme="majorBidi" w:hAnsiTheme="majorBidi" w:cstheme="majorBidi"/>
        </w:rPr>
      </w:pPr>
      <w:r w:rsidRPr="008436E8">
        <w:rPr>
          <w:lang w:bidi="lt-LT"/>
        </w:rPr>
        <w:t>Visų kelių eisme galinčių dalyvauti transporto priemonių apibrėžimai</w:t>
      </w:r>
      <w:r w:rsidR="002B59B5" w:rsidRPr="008436E8">
        <w:rPr>
          <w:lang w:bidi="lt-LT"/>
        </w:rPr>
        <w:t xml:space="preserve"> </w:t>
      </w:r>
      <w:r w:rsidRPr="008436E8">
        <w:rPr>
          <w:lang w:bidi="lt-LT"/>
        </w:rPr>
        <w:t>yra nurodyti SEAKĮ</w:t>
      </w:r>
      <w:r w:rsidR="00A530D9" w:rsidRPr="008436E8">
        <w:rPr>
          <w:lang w:bidi="lt-LT"/>
        </w:rPr>
        <w:t> </w:t>
      </w:r>
      <w:r w:rsidRPr="008436E8">
        <w:rPr>
          <w:lang w:bidi="lt-LT"/>
        </w:rPr>
        <w:t>2</w:t>
      </w:r>
      <w:r w:rsidR="00A530D9" w:rsidRPr="008436E8">
        <w:rPr>
          <w:lang w:bidi="lt-LT"/>
        </w:rPr>
        <w:t> </w:t>
      </w:r>
      <w:r w:rsidRPr="008436E8">
        <w:rPr>
          <w:lang w:bidi="lt-LT"/>
        </w:rPr>
        <w:t>str</w:t>
      </w:r>
      <w:r w:rsidR="002B59B5" w:rsidRPr="008436E8">
        <w:rPr>
          <w:lang w:bidi="lt-LT"/>
        </w:rPr>
        <w:t xml:space="preserve">aipsnyje. </w:t>
      </w:r>
      <w:r w:rsidRPr="008436E8">
        <w:rPr>
          <w:lang w:bidi="lt-LT"/>
        </w:rPr>
        <w:t>Pagal šio straipsnio 36</w:t>
      </w:r>
      <w:r w:rsidR="002B1A1D" w:rsidRPr="008436E8">
        <w:rPr>
          <w:lang w:bidi="lt-LT"/>
        </w:rPr>
        <w:t xml:space="preserve"> ir</w:t>
      </w:r>
      <w:r w:rsidRPr="008436E8">
        <w:rPr>
          <w:lang w:bidi="lt-LT"/>
        </w:rPr>
        <w:t xml:space="preserve"> 74 d</w:t>
      </w:r>
      <w:r w:rsidR="002B1A1D" w:rsidRPr="008436E8">
        <w:rPr>
          <w:lang w:bidi="lt-LT"/>
        </w:rPr>
        <w:t xml:space="preserve">alių </w:t>
      </w:r>
      <w:r w:rsidRPr="008436E8">
        <w:rPr>
          <w:lang w:bidi="lt-LT"/>
        </w:rPr>
        <w:t>nuostatas, motorinė transporto priemonė apibrėžiama kaip variklį turinti transporto priemonė, skirta</w:t>
      </w:r>
      <w:r w:rsidR="002B1A1D" w:rsidRPr="008436E8">
        <w:rPr>
          <w:lang w:bidi="lt-LT"/>
        </w:rPr>
        <w:t xml:space="preserve"> </w:t>
      </w:r>
      <w:r w:rsidRPr="008436E8">
        <w:rPr>
          <w:lang w:bidi="lt-LT"/>
        </w:rPr>
        <w:t xml:space="preserve">žmonėms ir (arba) kroviniams, taip pat ant jos sumontuotai stacionariai įrangai vežti. Atsižvelgiant į tai, kad </w:t>
      </w:r>
      <w:bookmarkStart w:id="5" w:name="Buk_34"/>
      <w:r w:rsidR="009C47A2" w:rsidRPr="009C47A2">
        <w:rPr>
          <w:lang w:bidi="lt-LT"/>
        </w:rPr>
        <w:t>L.</w:t>
      </w:r>
      <w:r w:rsidR="008739C2">
        <w:rPr>
          <w:lang w:bidi="lt-LT"/>
        </w:rPr>
        <w:t> </w:t>
      </w:r>
      <w:r w:rsidR="009C47A2" w:rsidRPr="009C47A2">
        <w:rPr>
          <w:lang w:bidi="lt-LT"/>
        </w:rPr>
        <w:t xml:space="preserve">L. </w:t>
      </w:r>
      <w:bookmarkEnd w:id="5"/>
      <w:r w:rsidRPr="008436E8">
        <w:rPr>
          <w:lang w:bidi="lt-LT"/>
        </w:rPr>
        <w:t>neginčijamai vairavo dviratę, turinčią</w:t>
      </w:r>
      <w:r w:rsidR="002B1A1D" w:rsidRPr="008436E8">
        <w:rPr>
          <w:lang w:bidi="lt-LT"/>
        </w:rPr>
        <w:t xml:space="preserve"> </w:t>
      </w:r>
      <w:r w:rsidRPr="008436E8">
        <w:rPr>
          <w:lang w:bidi="lt-LT"/>
        </w:rPr>
        <w:t>variklį transporto priemonę, ji turi atitikti vienos iš SEAKĮ 2 str</w:t>
      </w:r>
      <w:r w:rsidR="002B1A1D" w:rsidRPr="008436E8">
        <w:rPr>
          <w:lang w:bidi="lt-LT"/>
        </w:rPr>
        <w:t xml:space="preserve">aipsnyje </w:t>
      </w:r>
      <w:r w:rsidRPr="008436E8">
        <w:rPr>
          <w:lang w:bidi="lt-LT"/>
        </w:rPr>
        <w:t>apibrėžtų dvirãčių, turinčių variklius transporto priemonių požymius. Šios transporto priemonės yra skirstomos į motorinius dviračius, mopedus ir motociklus. SEAKĮ 2 str</w:t>
      </w:r>
      <w:r w:rsidR="002B1A1D" w:rsidRPr="008436E8">
        <w:rPr>
          <w:lang w:bidi="lt-LT"/>
        </w:rPr>
        <w:t>aipsnio</w:t>
      </w:r>
      <w:r w:rsidRPr="008436E8">
        <w:rPr>
          <w:lang w:bidi="lt-LT"/>
        </w:rPr>
        <w:t xml:space="preserve"> 40 d</w:t>
      </w:r>
      <w:r w:rsidR="002B1A1D" w:rsidRPr="008436E8">
        <w:rPr>
          <w:lang w:bidi="lt-LT"/>
        </w:rPr>
        <w:t xml:space="preserve">alyje </w:t>
      </w:r>
      <w:r w:rsidRPr="008436E8">
        <w:rPr>
          <w:lang w:bidi="lt-LT"/>
        </w:rPr>
        <w:t xml:space="preserve">motorinis dviratis apibrėžiamas kaip ne mažiau </w:t>
      </w:r>
      <w:r w:rsidR="00A21A6A" w:rsidRPr="008436E8">
        <w:rPr>
          <w:lang w:bidi="lt-LT"/>
        </w:rPr>
        <w:t xml:space="preserve">nei </w:t>
      </w:r>
      <w:r w:rsidRPr="008436E8">
        <w:rPr>
          <w:lang w:bidi="lt-LT"/>
        </w:rPr>
        <w:t>du ratus turinti transporto priemonė, kuri varoma ja važiuojančio asmens raumenų jėga, naudojant pedalus ar rankenas, ir turi pagalbinį vidaus degimo variklį ar elektros variklį, kurių didžiausioji naudingoji galia ne didesnė kaip 1 kW, ir kurios didžiausiasis projektinis greitis ne didesnis kaip 25 km/h. Pagalbinis variklis nustoja veikti transporto priemonei pasiekus 25</w:t>
      </w:r>
      <w:r w:rsidR="008739C2">
        <w:rPr>
          <w:lang w:bidi="lt-LT"/>
        </w:rPr>
        <w:t> </w:t>
      </w:r>
      <w:r w:rsidRPr="008436E8">
        <w:rPr>
          <w:lang w:bidi="lt-LT"/>
        </w:rPr>
        <w:t>km/h greitį</w:t>
      </w:r>
      <w:r w:rsidR="002B1A1D" w:rsidRPr="008436E8">
        <w:rPr>
          <w:lang w:bidi="lt-LT"/>
        </w:rPr>
        <w:t>. Mopedu</w:t>
      </w:r>
      <w:r w:rsidRPr="008436E8">
        <w:rPr>
          <w:lang w:bidi="lt-LT"/>
        </w:rPr>
        <w:t xml:space="preserve"> (SEAKĮ 2 str</w:t>
      </w:r>
      <w:r w:rsidR="002B1A1D" w:rsidRPr="008436E8">
        <w:rPr>
          <w:lang w:bidi="lt-LT"/>
        </w:rPr>
        <w:t xml:space="preserve">aipsnio </w:t>
      </w:r>
      <w:r w:rsidRPr="008436E8">
        <w:rPr>
          <w:lang w:bidi="lt-LT"/>
        </w:rPr>
        <w:t>33 d</w:t>
      </w:r>
      <w:r w:rsidR="002B1A1D" w:rsidRPr="008436E8">
        <w:rPr>
          <w:lang w:bidi="lt-LT"/>
        </w:rPr>
        <w:t>alis</w:t>
      </w:r>
      <w:r w:rsidRPr="008436E8">
        <w:rPr>
          <w:lang w:bidi="lt-LT"/>
        </w:rPr>
        <w:t>) laikoma dviratė motorinė transporto priemonė, kurios didžiausiasis projektinis greitis didesnis kaip 25 km/h, bet ne didesnis kaip 45 km/h ir kurios variklio darbinis tūris ne didesnis kaip 50</w:t>
      </w:r>
      <w:r w:rsidR="00CF7B0B" w:rsidRPr="008436E8">
        <w:rPr>
          <w:lang w:bidi="lt-LT"/>
        </w:rPr>
        <w:t> kub. </w:t>
      </w:r>
      <w:r w:rsidRPr="008436E8">
        <w:rPr>
          <w:lang w:bidi="lt-LT"/>
        </w:rPr>
        <w:t xml:space="preserve">cm (esant vidaus degimo varikliui), </w:t>
      </w:r>
      <w:r w:rsidR="002B1A1D" w:rsidRPr="008436E8">
        <w:rPr>
          <w:lang w:bidi="lt-LT"/>
        </w:rPr>
        <w:t xml:space="preserve">o motociklu </w:t>
      </w:r>
      <w:r w:rsidRPr="008436E8">
        <w:rPr>
          <w:lang w:bidi="lt-LT"/>
        </w:rPr>
        <w:t>(SEAKĮ 2 str</w:t>
      </w:r>
      <w:r w:rsidR="002B1A1D" w:rsidRPr="008436E8">
        <w:rPr>
          <w:lang w:bidi="lt-LT"/>
        </w:rPr>
        <w:t>aipsnio</w:t>
      </w:r>
      <w:r w:rsidRPr="008436E8">
        <w:rPr>
          <w:lang w:bidi="lt-LT"/>
        </w:rPr>
        <w:t xml:space="preserve"> 34 d</w:t>
      </w:r>
      <w:r w:rsidR="002B1A1D" w:rsidRPr="008436E8">
        <w:rPr>
          <w:lang w:bidi="lt-LT"/>
        </w:rPr>
        <w:t>alis</w:t>
      </w:r>
      <w:r w:rsidRPr="008436E8">
        <w:rPr>
          <w:lang w:bidi="lt-LT"/>
        </w:rPr>
        <w:t xml:space="preserve">) laikoma dviratė motorinė transporto priemonė (su šonine priekaba arba be jos), kurios vidaus degimo variklio darbinis tūris didesnis kaip 50 </w:t>
      </w:r>
      <w:r w:rsidR="00CF7B0B" w:rsidRPr="008436E8">
        <w:rPr>
          <w:lang w:bidi="lt-LT"/>
        </w:rPr>
        <w:t xml:space="preserve">kub. </w:t>
      </w:r>
      <w:r w:rsidRPr="008436E8">
        <w:rPr>
          <w:lang w:bidi="lt-LT"/>
        </w:rPr>
        <w:t>cm</w:t>
      </w:r>
      <w:r w:rsidR="002B1A1D" w:rsidRPr="008436E8">
        <w:rPr>
          <w:lang w:bidi="lt-LT"/>
        </w:rPr>
        <w:t xml:space="preserve"> </w:t>
      </w:r>
      <w:r w:rsidRPr="008436E8">
        <w:rPr>
          <w:lang w:bidi="lt-LT"/>
        </w:rPr>
        <w:t>ir (arba) didžiausiasis projektinis greitis didesnis kaip 45 km/h.</w:t>
      </w:r>
      <w:r w:rsidR="002B1A1D" w:rsidRPr="008436E8">
        <w:rPr>
          <w:lang w:bidi="lt-LT"/>
        </w:rPr>
        <w:t xml:space="preserve"> Byloje </w:t>
      </w:r>
      <w:r w:rsidRPr="008436E8">
        <w:rPr>
          <w:lang w:bidi="lt-LT"/>
        </w:rPr>
        <w:t xml:space="preserve">akivaizdu, kad </w:t>
      </w:r>
      <w:bookmarkStart w:id="6" w:name="Buk_19"/>
      <w:r w:rsidR="009C47A2" w:rsidRPr="009C47A2">
        <w:rPr>
          <w:lang w:bidi="lt-LT"/>
        </w:rPr>
        <w:t xml:space="preserve">L. L. </w:t>
      </w:r>
      <w:bookmarkEnd w:id="6"/>
      <w:r w:rsidRPr="008436E8">
        <w:rPr>
          <w:lang w:bidi="lt-LT"/>
        </w:rPr>
        <w:t>vairuota dviratė motorinė transporto priemonė tiek pagal variklio galios (</w:t>
      </w:r>
      <w:r w:rsidRPr="008436E8">
        <w:rPr>
          <w:iCs/>
          <w:lang w:bidi="lt-LT"/>
        </w:rPr>
        <w:t xml:space="preserve">66 </w:t>
      </w:r>
      <w:r w:rsidR="00CF7B0B" w:rsidRPr="008436E8">
        <w:rPr>
          <w:iCs/>
          <w:lang w:bidi="lt-LT"/>
        </w:rPr>
        <w:t xml:space="preserve">kub. </w:t>
      </w:r>
      <w:r w:rsidRPr="008436E8">
        <w:rPr>
          <w:iCs/>
          <w:lang w:bidi="lt-LT"/>
        </w:rPr>
        <w:t>cm</w:t>
      </w:r>
      <w:r w:rsidRPr="008436E8">
        <w:rPr>
          <w:lang w:bidi="lt-LT"/>
        </w:rPr>
        <w:t xml:space="preserve">, </w:t>
      </w:r>
      <w:r w:rsidR="00D63603" w:rsidRPr="008436E8">
        <w:rPr>
          <w:lang w:bidi="lt-LT"/>
        </w:rPr>
        <w:t xml:space="preserve">ši </w:t>
      </w:r>
      <w:r w:rsidRPr="008436E8">
        <w:rPr>
          <w:lang w:bidi="lt-LT"/>
        </w:rPr>
        <w:t>atitiktų net nustatytą motociklui), tiek pagal projektinio greičio (43 ± 1 km/h) parametrus atitinka ne motorinio dviračio, o mopedo, kaip tai apibrėžta SEAKĮ 2</w:t>
      </w:r>
      <w:r w:rsidR="008739C2">
        <w:rPr>
          <w:lang w:bidi="lt-LT"/>
        </w:rPr>
        <w:t> </w:t>
      </w:r>
      <w:r w:rsidRPr="008436E8">
        <w:rPr>
          <w:lang w:bidi="lt-LT"/>
        </w:rPr>
        <w:t>str</w:t>
      </w:r>
      <w:r w:rsidR="002B1A1D" w:rsidRPr="008436E8">
        <w:rPr>
          <w:lang w:bidi="lt-LT"/>
        </w:rPr>
        <w:t>aipsnio</w:t>
      </w:r>
      <w:r w:rsidRPr="008436E8">
        <w:rPr>
          <w:lang w:bidi="lt-LT"/>
        </w:rPr>
        <w:t xml:space="preserve"> 33 d</w:t>
      </w:r>
      <w:r w:rsidR="002B1A1D" w:rsidRPr="008436E8">
        <w:rPr>
          <w:lang w:bidi="lt-LT"/>
        </w:rPr>
        <w:t>alyje</w:t>
      </w:r>
      <w:r w:rsidRPr="008436E8">
        <w:rPr>
          <w:lang w:bidi="lt-LT"/>
        </w:rPr>
        <w:t xml:space="preserve">, </w:t>
      </w:r>
      <w:r w:rsidR="002B1A1D" w:rsidRPr="008436E8">
        <w:rPr>
          <w:lang w:bidi="lt-LT"/>
        </w:rPr>
        <w:t>apibrėžimą</w:t>
      </w:r>
      <w:r w:rsidRPr="008436E8">
        <w:rPr>
          <w:lang w:bidi="lt-LT"/>
        </w:rPr>
        <w:t>. Be to, SEAKĮ 2 str</w:t>
      </w:r>
      <w:r w:rsidR="002B1A1D" w:rsidRPr="008436E8">
        <w:rPr>
          <w:lang w:bidi="lt-LT"/>
        </w:rPr>
        <w:t xml:space="preserve">aipsnio </w:t>
      </w:r>
      <w:r w:rsidRPr="008436E8">
        <w:rPr>
          <w:lang w:bidi="lt-LT"/>
        </w:rPr>
        <w:t>40 d</w:t>
      </w:r>
      <w:r w:rsidR="002B1A1D" w:rsidRPr="008436E8">
        <w:rPr>
          <w:lang w:bidi="lt-LT"/>
        </w:rPr>
        <w:t>alyje</w:t>
      </w:r>
      <w:r w:rsidRPr="008436E8">
        <w:rPr>
          <w:lang w:bidi="lt-LT"/>
        </w:rPr>
        <w:t xml:space="preserve"> motoriniam dviračiui yra nu</w:t>
      </w:r>
      <w:r w:rsidR="00CF7B0B" w:rsidRPr="008436E8">
        <w:rPr>
          <w:lang w:bidi="lt-LT"/>
        </w:rPr>
        <w:t>st</w:t>
      </w:r>
      <w:r w:rsidRPr="008436E8">
        <w:rPr>
          <w:lang w:bidi="lt-LT"/>
        </w:rPr>
        <w:t xml:space="preserve">atytas imperatyvus reikalavimas </w:t>
      </w:r>
      <w:r w:rsidR="002B1A1D" w:rsidRPr="008436E8">
        <w:rPr>
          <w:lang w:bidi="lt-LT"/>
        </w:rPr>
        <w:t>–</w:t>
      </w:r>
      <w:r w:rsidRPr="008436E8">
        <w:rPr>
          <w:lang w:bidi="lt-LT"/>
        </w:rPr>
        <w:t xml:space="preserve"> pagalbinis variklis turi nustoti veikti transporto </w:t>
      </w:r>
      <w:r w:rsidRPr="008436E8">
        <w:rPr>
          <w:lang w:bidi="lt-LT"/>
        </w:rPr>
        <w:lastRenderedPageBreak/>
        <w:t>priemonei pasiekus 25 km/h greitį.</w:t>
      </w:r>
      <w:r w:rsidR="002A0313" w:rsidRPr="008436E8">
        <w:rPr>
          <w:lang w:bidi="lt-LT"/>
        </w:rPr>
        <w:t xml:space="preserve"> </w:t>
      </w:r>
      <w:r w:rsidR="002B1A1D" w:rsidRPr="008436E8">
        <w:rPr>
          <w:rFonts w:asciiTheme="majorBidi" w:hAnsiTheme="majorBidi" w:cstheme="majorBidi"/>
          <w:color w:val="000000"/>
          <w:shd w:val="clear" w:color="auto" w:fill="FFFFFF"/>
        </w:rPr>
        <w:t>Tačiau ekspertinio vertinimo metu nebuvo nustatyta, kad dviratėje transporto priemonėje tokia priemonė (greičio ribotuvas ar kt.) buvo įrengta, t. y. ji neturi apribojimo</w:t>
      </w:r>
      <w:r w:rsidR="00CF7B0B" w:rsidRPr="008436E8">
        <w:rPr>
          <w:rFonts w:asciiTheme="majorBidi" w:hAnsiTheme="majorBidi" w:cstheme="majorBidi"/>
          <w:color w:val="000000"/>
          <w:shd w:val="clear" w:color="auto" w:fill="FFFFFF"/>
        </w:rPr>
        <w:t>,</w:t>
      </w:r>
      <w:r w:rsidR="002B1A1D" w:rsidRPr="008436E8">
        <w:rPr>
          <w:rFonts w:asciiTheme="majorBidi" w:hAnsiTheme="majorBidi" w:cstheme="majorBidi"/>
          <w:color w:val="000000"/>
          <w:shd w:val="clear" w:color="auto" w:fill="FFFFFF"/>
        </w:rPr>
        <w:t xml:space="preserve"> užtikrinančio, kad leistinas maksimalus greitis neviršytų 25</w:t>
      </w:r>
      <w:r w:rsidR="00CF7B0B" w:rsidRPr="008436E8">
        <w:rPr>
          <w:rFonts w:asciiTheme="majorBidi" w:hAnsiTheme="majorBidi" w:cstheme="majorBidi"/>
          <w:color w:val="000000"/>
          <w:shd w:val="clear" w:color="auto" w:fill="FFFFFF"/>
        </w:rPr>
        <w:t> </w:t>
      </w:r>
      <w:r w:rsidR="002B1A1D" w:rsidRPr="008436E8">
        <w:rPr>
          <w:rFonts w:asciiTheme="majorBidi" w:hAnsiTheme="majorBidi" w:cstheme="majorBidi"/>
          <w:color w:val="000000"/>
          <w:shd w:val="clear" w:color="auto" w:fill="FFFFFF"/>
        </w:rPr>
        <w:t xml:space="preserve">km/h. </w:t>
      </w:r>
      <w:r w:rsidR="002B1A1D" w:rsidRPr="008436E8">
        <w:rPr>
          <w:lang w:bidi="lt-LT"/>
        </w:rPr>
        <w:t>A</w:t>
      </w:r>
      <w:r w:rsidRPr="008436E8">
        <w:rPr>
          <w:lang w:bidi="lt-LT"/>
        </w:rPr>
        <w:t xml:space="preserve">peliacinės instancijos teismas šio motoriniam dviračiui nustatyto imperatyvaus reikalavimo dėl leistino maksimalaus greičio ribojimo nagrinėjamu atveju visiškai nevertino ir neanalizavo. Taigi </w:t>
      </w:r>
      <w:r w:rsidR="00D63603" w:rsidRPr="008436E8">
        <w:rPr>
          <w:lang w:bidi="lt-LT"/>
        </w:rPr>
        <w:t xml:space="preserve">šis teismas </w:t>
      </w:r>
      <w:r w:rsidRPr="008436E8">
        <w:rPr>
          <w:lang w:bidi="lt-LT"/>
        </w:rPr>
        <w:t>netinkamai aiškino ir taikė SEAKĮ 2 str</w:t>
      </w:r>
      <w:r w:rsidR="002B1A1D" w:rsidRPr="008436E8">
        <w:rPr>
          <w:lang w:bidi="lt-LT"/>
        </w:rPr>
        <w:t xml:space="preserve">aipsnio </w:t>
      </w:r>
      <w:r w:rsidRPr="008436E8">
        <w:rPr>
          <w:lang w:bidi="lt-LT"/>
        </w:rPr>
        <w:t>40 d</w:t>
      </w:r>
      <w:r w:rsidR="002B1A1D" w:rsidRPr="008436E8">
        <w:rPr>
          <w:lang w:bidi="lt-LT"/>
        </w:rPr>
        <w:t>alį</w:t>
      </w:r>
      <w:r w:rsidRPr="008436E8">
        <w:rPr>
          <w:lang w:bidi="lt-LT"/>
        </w:rPr>
        <w:t xml:space="preserve">, </w:t>
      </w:r>
      <w:r w:rsidR="00CF7B0B" w:rsidRPr="008436E8">
        <w:rPr>
          <w:lang w:bidi="lt-LT"/>
        </w:rPr>
        <w:t xml:space="preserve">tai </w:t>
      </w:r>
      <w:r w:rsidRPr="008436E8">
        <w:rPr>
          <w:lang w:bidi="lt-LT"/>
        </w:rPr>
        <w:t>lėmė neteisėtą ir nepagrįstą BK 281</w:t>
      </w:r>
      <w:r w:rsidR="00572DF2" w:rsidRPr="008436E8">
        <w:rPr>
          <w:color w:val="000000"/>
          <w:shd w:val="clear" w:color="auto" w:fill="FFFFFF"/>
          <w:vertAlign w:val="superscript"/>
          <w:lang w:eastAsia="lt-LT"/>
        </w:rPr>
        <w:t>1</w:t>
      </w:r>
      <w:r w:rsidR="002B1A1D" w:rsidRPr="008436E8">
        <w:rPr>
          <w:lang w:bidi="lt-LT"/>
        </w:rPr>
        <w:t xml:space="preserve"> </w:t>
      </w:r>
      <w:r w:rsidRPr="008436E8">
        <w:rPr>
          <w:lang w:bidi="lt-LT"/>
        </w:rPr>
        <w:t>str</w:t>
      </w:r>
      <w:r w:rsidR="002B1A1D" w:rsidRPr="008436E8">
        <w:rPr>
          <w:lang w:bidi="lt-LT"/>
        </w:rPr>
        <w:t>aipsnio</w:t>
      </w:r>
      <w:r w:rsidRPr="008436E8">
        <w:rPr>
          <w:lang w:bidi="lt-LT"/>
        </w:rPr>
        <w:t xml:space="preserve"> 1 d</w:t>
      </w:r>
      <w:r w:rsidR="002B1A1D" w:rsidRPr="008436E8">
        <w:rPr>
          <w:lang w:bidi="lt-LT"/>
        </w:rPr>
        <w:t xml:space="preserve">alies </w:t>
      </w:r>
      <w:r w:rsidRPr="008436E8">
        <w:rPr>
          <w:lang w:bidi="lt-LT"/>
        </w:rPr>
        <w:t>netaikymą.</w:t>
      </w:r>
      <w:r w:rsidR="0035070F" w:rsidRPr="008436E8">
        <w:rPr>
          <w:rFonts w:asciiTheme="majorBidi" w:hAnsiTheme="majorBidi" w:cstheme="majorBidi"/>
          <w:color w:val="000000"/>
          <w:shd w:val="clear" w:color="auto" w:fill="FFFFFF"/>
        </w:rPr>
        <w:t xml:space="preserve"> Apeliacinės instancijos teismas ekspertinio tyrimo metu nustatytą projektinio greičio (43</w:t>
      </w:r>
      <w:r w:rsidR="00CF7B0B" w:rsidRPr="008436E8">
        <w:rPr>
          <w:rFonts w:asciiTheme="majorBidi" w:hAnsiTheme="majorBidi" w:cstheme="majorBidi"/>
          <w:color w:val="000000"/>
          <w:shd w:val="clear" w:color="auto" w:fill="FFFFFF"/>
        </w:rPr>
        <w:t xml:space="preserve"> </w:t>
      </w:r>
      <w:r w:rsidR="0035070F" w:rsidRPr="008436E8">
        <w:rPr>
          <w:rFonts w:asciiTheme="majorBidi" w:hAnsiTheme="majorBidi" w:cstheme="majorBidi"/>
          <w:color w:val="000000"/>
          <w:shd w:val="clear" w:color="auto" w:fill="FFFFFF"/>
        </w:rPr>
        <w:t>±</w:t>
      </w:r>
      <w:r w:rsidR="00CF7B0B" w:rsidRPr="008436E8">
        <w:rPr>
          <w:rFonts w:asciiTheme="majorBidi" w:hAnsiTheme="majorBidi" w:cstheme="majorBidi"/>
          <w:color w:val="000000"/>
          <w:shd w:val="clear" w:color="auto" w:fill="FFFFFF"/>
        </w:rPr>
        <w:t xml:space="preserve"> </w:t>
      </w:r>
      <w:r w:rsidR="0035070F" w:rsidRPr="008436E8">
        <w:rPr>
          <w:rFonts w:asciiTheme="majorBidi" w:hAnsiTheme="majorBidi" w:cstheme="majorBidi"/>
          <w:color w:val="000000"/>
          <w:shd w:val="clear" w:color="auto" w:fill="FFFFFF"/>
        </w:rPr>
        <w:t xml:space="preserve">1 km/h) parametrą vertino </w:t>
      </w:r>
      <w:r w:rsidR="0035070F" w:rsidRPr="008436E8">
        <w:rPr>
          <w:rFonts w:asciiTheme="majorBidi" w:hAnsiTheme="majorBidi" w:cstheme="majorBidi"/>
          <w:i/>
          <w:iCs/>
          <w:color w:val="000000"/>
          <w:shd w:val="clear" w:color="auto" w:fill="FFFFFF"/>
        </w:rPr>
        <w:t>in dubio pro reo</w:t>
      </w:r>
      <w:r w:rsidR="0035070F" w:rsidRPr="008436E8">
        <w:rPr>
          <w:rFonts w:asciiTheme="majorBidi" w:hAnsiTheme="majorBidi" w:cstheme="majorBidi"/>
          <w:color w:val="000000"/>
          <w:shd w:val="clear" w:color="auto" w:fill="FFFFFF"/>
        </w:rPr>
        <w:t xml:space="preserve"> </w:t>
      </w:r>
      <w:r w:rsidR="00CF7B0B" w:rsidRPr="008436E8">
        <w:rPr>
          <w:rFonts w:asciiTheme="majorBidi" w:hAnsiTheme="majorBidi" w:cstheme="majorBidi"/>
          <w:color w:val="000000"/>
          <w:shd w:val="clear" w:color="auto" w:fill="FFFFFF"/>
        </w:rPr>
        <w:t xml:space="preserve">(visos abejonės aiškinamos kaltinamojo naudai) </w:t>
      </w:r>
      <w:r w:rsidR="0035070F" w:rsidRPr="008436E8">
        <w:rPr>
          <w:rFonts w:asciiTheme="majorBidi" w:hAnsiTheme="majorBidi" w:cstheme="majorBidi"/>
          <w:color w:val="000000"/>
          <w:shd w:val="clear" w:color="auto" w:fill="FFFFFF"/>
        </w:rPr>
        <w:t xml:space="preserve">principo kontekste, tačiau toks teismo argumentas dėl atlikto ekspertinio tyrimo laikytinas nei teisiškai, nei </w:t>
      </w:r>
      <w:r w:rsidR="003F0D1A" w:rsidRPr="008436E8">
        <w:rPr>
          <w:rFonts w:asciiTheme="majorBidi" w:hAnsiTheme="majorBidi" w:cstheme="majorBidi"/>
          <w:color w:val="000000"/>
          <w:shd w:val="clear" w:color="auto" w:fill="FFFFFF"/>
        </w:rPr>
        <w:t xml:space="preserve">faktiškai </w:t>
      </w:r>
      <w:r w:rsidR="0035070F" w:rsidRPr="008436E8">
        <w:rPr>
          <w:rFonts w:asciiTheme="majorBidi" w:hAnsiTheme="majorBidi" w:cstheme="majorBidi"/>
          <w:color w:val="000000"/>
          <w:shd w:val="clear" w:color="auto" w:fill="FFFFFF"/>
        </w:rPr>
        <w:t>nepagrįstu.</w:t>
      </w:r>
    </w:p>
    <w:p w14:paraId="7C1C4563" w14:textId="106FD68E" w:rsidR="00CC645A" w:rsidRPr="008436E8" w:rsidRDefault="00334F35" w:rsidP="00CC645A">
      <w:pPr>
        <w:pStyle w:val="Pagrindinistekstas"/>
        <w:numPr>
          <w:ilvl w:val="1"/>
          <w:numId w:val="26"/>
        </w:numPr>
        <w:spacing w:after="120"/>
        <w:rPr>
          <w:rFonts w:asciiTheme="majorBidi" w:hAnsiTheme="majorBidi" w:cstheme="majorBidi"/>
        </w:rPr>
      </w:pPr>
      <w:r w:rsidRPr="008436E8">
        <w:rPr>
          <w:rFonts w:asciiTheme="majorBidi" w:hAnsiTheme="majorBidi" w:cstheme="majorBidi"/>
          <w:color w:val="000000"/>
          <w:shd w:val="clear" w:color="auto" w:fill="FFFFFF"/>
        </w:rPr>
        <w:t>Panevėžio apygardos teismo Baudžiamųjų bylų skyriaus teisėjų kolegija baudžiamojo</w:t>
      </w:r>
      <w:r w:rsidR="00CF7B0B" w:rsidRPr="008436E8">
        <w:rPr>
          <w:rFonts w:asciiTheme="majorBidi" w:hAnsiTheme="majorBidi" w:cstheme="majorBidi"/>
          <w:color w:val="000000"/>
          <w:shd w:val="clear" w:color="auto" w:fill="FFFFFF"/>
        </w:rPr>
        <w:t>je</w:t>
      </w:r>
      <w:r w:rsidRPr="008436E8">
        <w:rPr>
          <w:rFonts w:asciiTheme="majorBidi" w:hAnsiTheme="majorBidi" w:cstheme="majorBidi"/>
          <w:color w:val="000000"/>
          <w:shd w:val="clear" w:color="auto" w:fill="FFFFFF"/>
        </w:rPr>
        <w:t xml:space="preserve"> byloje Nr. 1A-121-350/2022 nurodė, kad baudžiamoji atsakomybė pagal BK 28</w:t>
      </w:r>
      <w:r w:rsidR="008D2529" w:rsidRPr="008436E8">
        <w:rPr>
          <w:rFonts w:asciiTheme="majorBidi" w:hAnsiTheme="majorBidi" w:cstheme="majorBidi"/>
          <w:color w:val="000000"/>
          <w:shd w:val="clear" w:color="auto" w:fill="FFFFFF"/>
        </w:rPr>
        <w:t>1</w:t>
      </w:r>
      <w:r w:rsidR="00572DF2" w:rsidRPr="008436E8">
        <w:rPr>
          <w:color w:val="000000"/>
          <w:shd w:val="clear" w:color="auto" w:fill="FFFFFF"/>
          <w:vertAlign w:val="superscript"/>
          <w:lang w:eastAsia="lt-LT"/>
        </w:rPr>
        <w:t>1</w:t>
      </w:r>
      <w:r w:rsidR="008D2529" w:rsidRPr="008436E8">
        <w:rPr>
          <w:rFonts w:asciiTheme="majorBidi" w:hAnsiTheme="majorBidi" w:cstheme="majorBidi"/>
          <w:color w:val="000000"/>
          <w:shd w:val="clear" w:color="auto" w:fill="FFFFFF"/>
        </w:rPr>
        <w:t xml:space="preserve"> </w:t>
      </w:r>
      <w:r w:rsidRPr="008436E8">
        <w:rPr>
          <w:rFonts w:asciiTheme="majorBidi" w:hAnsiTheme="majorBidi" w:cstheme="majorBidi"/>
          <w:color w:val="000000"/>
          <w:shd w:val="clear" w:color="auto" w:fill="FFFFFF"/>
        </w:rPr>
        <w:t xml:space="preserve">straipsnio 1 dalį kyla asmeniui, kurio neblaivaus vairuotos transporto priemonės vidaus degimo ar elektros variklio naudingoji galia didesnė kaip 1 kW arba </w:t>
      </w:r>
      <w:r w:rsidR="00D63603" w:rsidRPr="008436E8">
        <w:rPr>
          <w:rFonts w:asciiTheme="majorBidi" w:hAnsiTheme="majorBidi" w:cstheme="majorBidi"/>
          <w:color w:val="000000"/>
          <w:shd w:val="clear" w:color="auto" w:fill="FFFFFF"/>
        </w:rPr>
        <w:t xml:space="preserve">jos </w:t>
      </w:r>
      <w:r w:rsidRPr="008436E8">
        <w:rPr>
          <w:rFonts w:asciiTheme="majorBidi" w:hAnsiTheme="majorBidi" w:cstheme="majorBidi"/>
          <w:color w:val="000000"/>
          <w:shd w:val="clear" w:color="auto" w:fill="FFFFFF"/>
        </w:rPr>
        <w:t>didžiausiasis projektinis greitis ne mažesnis kaip 25 km/h, t. y., jei bent vienas iš šių parametrų viršija SEAKĮ 2</w:t>
      </w:r>
      <w:r w:rsidR="00CF7B0B" w:rsidRPr="008436E8">
        <w:rPr>
          <w:rFonts w:asciiTheme="majorBidi" w:hAnsiTheme="majorBidi" w:cstheme="majorBidi"/>
          <w:color w:val="000000"/>
          <w:shd w:val="clear" w:color="auto" w:fill="FFFFFF"/>
        </w:rPr>
        <w:t> </w:t>
      </w:r>
      <w:r w:rsidRPr="008436E8">
        <w:rPr>
          <w:rFonts w:asciiTheme="majorBidi" w:hAnsiTheme="majorBidi" w:cstheme="majorBidi"/>
          <w:color w:val="000000"/>
          <w:shd w:val="clear" w:color="auto" w:fill="FFFFFF"/>
        </w:rPr>
        <w:t xml:space="preserve">straipsnio 40 dalyje </w:t>
      </w:r>
      <w:r w:rsidR="00CF7B0B" w:rsidRPr="008436E8">
        <w:rPr>
          <w:rFonts w:asciiTheme="majorBidi" w:hAnsiTheme="majorBidi" w:cstheme="majorBidi"/>
          <w:color w:val="000000"/>
          <w:shd w:val="clear" w:color="auto" w:fill="FFFFFF"/>
        </w:rPr>
        <w:t>nustatytuosius</w:t>
      </w:r>
      <w:r w:rsidRPr="008436E8">
        <w:rPr>
          <w:rFonts w:asciiTheme="majorBidi" w:hAnsiTheme="majorBidi" w:cstheme="majorBidi"/>
          <w:color w:val="000000"/>
          <w:shd w:val="clear" w:color="auto" w:fill="FFFFFF"/>
        </w:rPr>
        <w:t xml:space="preserve">, tokia transporto priemonė nebegali būti laikoma motoriniu dviračiu. Minėtas teisėjų kolegijos išaiškinimas aktualus ir nagrinėjamu atveju. </w:t>
      </w:r>
    </w:p>
    <w:p w14:paraId="5FBCE2E9" w14:textId="570E1EB0" w:rsidR="00AD3486" w:rsidRPr="008436E8" w:rsidRDefault="002E427B" w:rsidP="00F61765">
      <w:pPr>
        <w:pStyle w:val="Pagrindinistekstas"/>
        <w:numPr>
          <w:ilvl w:val="1"/>
          <w:numId w:val="26"/>
        </w:numPr>
        <w:rPr>
          <w:rFonts w:asciiTheme="majorBidi" w:hAnsiTheme="majorBidi" w:cstheme="majorBidi"/>
        </w:rPr>
      </w:pPr>
      <w:r w:rsidRPr="008436E8">
        <w:rPr>
          <w:rFonts w:asciiTheme="majorBidi" w:hAnsiTheme="majorBidi" w:cstheme="majorBidi"/>
          <w:color w:val="000000"/>
          <w:shd w:val="clear" w:color="auto" w:fill="FFFFFF"/>
        </w:rPr>
        <w:t xml:space="preserve">Apeliacinės instancijos teismas padarė nepagrįstą išvadą, kad </w:t>
      </w:r>
      <w:bookmarkStart w:id="7" w:name="Buk_20"/>
      <w:r w:rsidR="009C47A2" w:rsidRPr="009C47A2">
        <w:rPr>
          <w:rFonts w:asciiTheme="majorBidi" w:hAnsiTheme="majorBidi" w:cstheme="majorBidi"/>
          <w:shd w:val="clear" w:color="auto" w:fill="FFFFFF"/>
        </w:rPr>
        <w:t xml:space="preserve">L. L. </w:t>
      </w:r>
      <w:bookmarkEnd w:id="7"/>
      <w:r w:rsidRPr="008436E8">
        <w:rPr>
          <w:rFonts w:asciiTheme="majorBidi" w:hAnsiTheme="majorBidi" w:cstheme="majorBidi"/>
          <w:color w:val="000000"/>
          <w:shd w:val="clear" w:color="auto" w:fill="FFFFFF"/>
        </w:rPr>
        <w:t>veika nėra tiek pavojinga, kad būtų galima taikyti baudžiamąjį įstatymą</w:t>
      </w:r>
      <w:r w:rsidR="00AD3486" w:rsidRPr="008436E8">
        <w:rPr>
          <w:lang w:bidi="lt-LT"/>
        </w:rPr>
        <w:t>.</w:t>
      </w:r>
      <w:r w:rsidR="00490A63" w:rsidRPr="008436E8">
        <w:rPr>
          <w:lang w:bidi="lt-LT"/>
        </w:rPr>
        <w:t xml:space="preserve"> </w:t>
      </w:r>
      <w:bookmarkStart w:id="8" w:name="Buk_35"/>
      <w:r w:rsidR="009C47A2" w:rsidRPr="009C47A2">
        <w:rPr>
          <w:lang w:bidi="lt-LT"/>
        </w:rPr>
        <w:t xml:space="preserve">L. L. </w:t>
      </w:r>
      <w:bookmarkEnd w:id="8"/>
      <w:r w:rsidR="00490A63" w:rsidRPr="008436E8">
        <w:rPr>
          <w:lang w:bidi="lt-LT"/>
        </w:rPr>
        <w:t xml:space="preserve">buvo sustabdytas važiuojantis ne dviračių taku, o </w:t>
      </w:r>
      <w:r w:rsidR="005B3515" w:rsidRPr="008436E8">
        <w:rPr>
          <w:lang w:bidi="lt-LT"/>
        </w:rPr>
        <w:t xml:space="preserve">pėstiesiems skirtu </w:t>
      </w:r>
      <w:r w:rsidR="00490A63" w:rsidRPr="008436E8">
        <w:rPr>
          <w:lang w:bidi="lt-LT"/>
        </w:rPr>
        <w:t xml:space="preserve">šaligatviu, </w:t>
      </w:r>
      <w:r w:rsidR="008F7781" w:rsidRPr="008436E8">
        <w:rPr>
          <w:lang w:bidi="lt-LT"/>
        </w:rPr>
        <w:t xml:space="preserve">kuriuo </w:t>
      </w:r>
      <w:r w:rsidR="00490A63" w:rsidRPr="008436E8">
        <w:rPr>
          <w:lang w:bidi="lt-LT"/>
        </w:rPr>
        <w:t xml:space="preserve">transporto priemonių eismas draudžiamas. Tai, kad </w:t>
      </w:r>
      <w:bookmarkStart w:id="9" w:name="Buk_36"/>
      <w:r w:rsidR="009C47A2" w:rsidRPr="009C47A2">
        <w:rPr>
          <w:lang w:bidi="lt-LT"/>
        </w:rPr>
        <w:t xml:space="preserve">L. L. </w:t>
      </w:r>
      <w:bookmarkEnd w:id="9"/>
      <w:r w:rsidR="00490A63" w:rsidRPr="008436E8">
        <w:rPr>
          <w:lang w:bidi="lt-LT"/>
        </w:rPr>
        <w:t>neblaivus motorine transporto priemone (pats nežinodamas jos techninių charakteristikų ir nesuprasdamas</w:t>
      </w:r>
      <w:r w:rsidR="00CF7B0B" w:rsidRPr="008436E8">
        <w:rPr>
          <w:lang w:bidi="lt-LT"/>
        </w:rPr>
        <w:t>,</w:t>
      </w:r>
      <w:r w:rsidR="00490A63" w:rsidRPr="008436E8">
        <w:rPr>
          <w:lang w:bidi="lt-LT"/>
        </w:rPr>
        <w:t xml:space="preserve"> kaip ja važiuojant dalyvauti eisme) važiavo mieste, pėstiesiems įrengtu šaligatviu, dienos metu, kai gatvėje vyksta intensyvus eismas, o šaligatviu vaikšto daug pėsčiųjų, tiesiogiai keldamas pavojų jų sveikatai ir gyvybei, neabejotinai rodo jo padarytos veikos pavojingumą ir pagrindžia baudžiamosios atsakomybės taikymą.</w:t>
      </w:r>
    </w:p>
    <w:p w14:paraId="51EC355D" w14:textId="77777777" w:rsidR="007005EF" w:rsidRPr="008436E8" w:rsidRDefault="007005EF" w:rsidP="00F61765">
      <w:pPr>
        <w:pStyle w:val="Pagrindinistekstas"/>
      </w:pPr>
    </w:p>
    <w:p w14:paraId="28665D73" w14:textId="3EF4F32D" w:rsidR="006E7FAA" w:rsidRPr="008436E8" w:rsidRDefault="005B3515" w:rsidP="00F61765">
      <w:pPr>
        <w:pStyle w:val="Pagrindinistekstas"/>
        <w:jc w:val="center"/>
        <w:rPr>
          <w:lang w:bidi="lt-LT"/>
        </w:rPr>
      </w:pPr>
      <w:r w:rsidRPr="008436E8">
        <w:rPr>
          <w:lang w:bidi="lt-LT"/>
        </w:rPr>
        <w:t>III</w:t>
      </w:r>
      <w:r w:rsidR="006E7FAA" w:rsidRPr="008436E8">
        <w:rPr>
          <w:lang w:bidi="lt-LT"/>
        </w:rPr>
        <w:t>. Kasacinės instancijos teismo argumentai ir išvados</w:t>
      </w:r>
    </w:p>
    <w:p w14:paraId="24295C03" w14:textId="77777777" w:rsidR="0032265B" w:rsidRPr="008436E8" w:rsidRDefault="0032265B" w:rsidP="00F61765">
      <w:pPr>
        <w:pStyle w:val="Pagrindinistekstas"/>
        <w:jc w:val="center"/>
        <w:rPr>
          <w:lang w:bidi="lt-LT"/>
        </w:rPr>
      </w:pPr>
    </w:p>
    <w:p w14:paraId="17978356" w14:textId="02A8F540" w:rsidR="006E7FAA" w:rsidRPr="008436E8" w:rsidRDefault="0002388D" w:rsidP="00F61765">
      <w:pPr>
        <w:pStyle w:val="Pagrindinistekstas"/>
        <w:numPr>
          <w:ilvl w:val="0"/>
          <w:numId w:val="26"/>
        </w:numPr>
        <w:ind w:left="357" w:hanging="357"/>
        <w:rPr>
          <w:iCs/>
        </w:rPr>
      </w:pPr>
      <w:r w:rsidRPr="008436E8">
        <w:rPr>
          <w:bCs/>
        </w:rPr>
        <w:t xml:space="preserve">Panevėžio apygardos prokuratūros Utenos apylinkės prokuratūros </w:t>
      </w:r>
      <w:r w:rsidR="00CF7B0B" w:rsidRPr="008436E8">
        <w:rPr>
          <w:bCs/>
        </w:rPr>
        <w:t>vyriausiojo prokuroro</w:t>
      </w:r>
      <w:r w:rsidR="00CF7B0B" w:rsidRPr="008436E8">
        <w:t xml:space="preserve"> </w:t>
      </w:r>
      <w:r w:rsidR="009F49CE" w:rsidRPr="008436E8">
        <w:rPr>
          <w:bCs/>
        </w:rPr>
        <w:t>L. Latožos</w:t>
      </w:r>
      <w:r w:rsidR="009F49CE" w:rsidRPr="008436E8">
        <w:t xml:space="preserve"> </w:t>
      </w:r>
      <w:r w:rsidR="00490A63" w:rsidRPr="008436E8">
        <w:t>kasacinis skundas</w:t>
      </w:r>
      <w:r w:rsidRPr="008436E8">
        <w:t xml:space="preserve"> tenkintinas</w:t>
      </w:r>
      <w:r w:rsidR="006E7FAA" w:rsidRPr="008436E8">
        <w:rPr>
          <w:iCs/>
        </w:rPr>
        <w:t>.</w:t>
      </w:r>
    </w:p>
    <w:p w14:paraId="798802CC" w14:textId="77777777" w:rsidR="0075144F" w:rsidRPr="008436E8" w:rsidRDefault="0075144F" w:rsidP="00F61765">
      <w:pPr>
        <w:pStyle w:val="Pagrindinistekstas"/>
      </w:pPr>
    </w:p>
    <w:p w14:paraId="4E1D1701" w14:textId="1E905D3D" w:rsidR="0075144F" w:rsidRPr="008436E8" w:rsidRDefault="0002388D" w:rsidP="008436E8">
      <w:pPr>
        <w:pStyle w:val="Pagrindinistekstas"/>
        <w:rPr>
          <w:i/>
          <w:iCs/>
        </w:rPr>
      </w:pPr>
      <w:r w:rsidRPr="008436E8">
        <w:rPr>
          <w:i/>
          <w:iCs/>
        </w:rPr>
        <w:t>Dėl atsakomybės už motorinio dviračio vairavimą esant neblaiviam</w:t>
      </w:r>
    </w:p>
    <w:p w14:paraId="32C1022C" w14:textId="77777777" w:rsidR="0075144F" w:rsidRPr="008436E8" w:rsidRDefault="0075144F" w:rsidP="00F61765">
      <w:pPr>
        <w:pStyle w:val="Pagrindinistekstas"/>
      </w:pPr>
    </w:p>
    <w:p w14:paraId="02F25F29" w14:textId="3C69E611" w:rsidR="00F61765" w:rsidRPr="008436E8" w:rsidRDefault="009C47A2" w:rsidP="00F61765">
      <w:pPr>
        <w:pStyle w:val="Sraopastraipa"/>
        <w:numPr>
          <w:ilvl w:val="0"/>
          <w:numId w:val="26"/>
        </w:numPr>
        <w:tabs>
          <w:tab w:val="left" w:pos="780"/>
        </w:tabs>
        <w:spacing w:after="120"/>
        <w:ind w:left="357" w:hanging="357"/>
        <w:contextualSpacing w:val="0"/>
        <w:jc w:val="both"/>
        <w:rPr>
          <w:lang w:val="lt-LT"/>
        </w:rPr>
      </w:pPr>
      <w:bookmarkStart w:id="10" w:name="Buk_37"/>
      <w:r w:rsidRPr="009C47A2">
        <w:rPr>
          <w:lang w:val="lt-LT"/>
        </w:rPr>
        <w:t xml:space="preserve">L. L. </w:t>
      </w:r>
      <w:bookmarkEnd w:id="10"/>
      <w:r w:rsidR="0002388D" w:rsidRPr="008436E8">
        <w:rPr>
          <w:lang w:val="lt-LT"/>
        </w:rPr>
        <w:t>buvo kaltinamas tuo, kad būdamas neblaivus</w:t>
      </w:r>
      <w:r w:rsidR="009F49CE" w:rsidRPr="008436E8">
        <w:rPr>
          <w:lang w:val="lt-LT"/>
        </w:rPr>
        <w:t xml:space="preserve"> – </w:t>
      </w:r>
      <w:r w:rsidR="0002388D" w:rsidRPr="008436E8">
        <w:rPr>
          <w:lang w:val="lt-LT"/>
        </w:rPr>
        <w:t xml:space="preserve">jam </w:t>
      </w:r>
      <w:r w:rsidR="009F49CE" w:rsidRPr="008436E8">
        <w:rPr>
          <w:lang w:val="lt-LT"/>
        </w:rPr>
        <w:t xml:space="preserve">buvo </w:t>
      </w:r>
      <w:r w:rsidR="0002388D" w:rsidRPr="008436E8">
        <w:rPr>
          <w:lang w:val="lt-LT"/>
        </w:rPr>
        <w:t xml:space="preserve">nustatytas 2,02 </w:t>
      </w:r>
      <w:r w:rsidR="00CF7B0B" w:rsidRPr="008436E8">
        <w:rPr>
          <w:lang w:val="lt-LT"/>
        </w:rPr>
        <w:t xml:space="preserve">promilės </w:t>
      </w:r>
      <w:r w:rsidR="0002388D" w:rsidRPr="008436E8">
        <w:rPr>
          <w:lang w:val="lt-LT"/>
        </w:rPr>
        <w:t>neblaivumas</w:t>
      </w:r>
      <w:r w:rsidR="009F49CE" w:rsidRPr="008436E8">
        <w:rPr>
          <w:lang w:val="lt-LT"/>
        </w:rPr>
        <w:t xml:space="preserve"> –</w:t>
      </w:r>
      <w:r w:rsidR="0002388D" w:rsidRPr="008436E8">
        <w:rPr>
          <w:lang w:val="lt-LT"/>
        </w:rPr>
        <w:t xml:space="preserve"> vairavo motorinį dviratį su benzininiu vidaus degimo varikliu. Pirmosios instancijos teismas konstatavo, kad motorinis dviratis </w:t>
      </w:r>
      <w:r w:rsidR="0002388D" w:rsidRPr="008436E8">
        <w:rPr>
          <w:szCs w:val="20"/>
          <w:lang w:val="lt-LT"/>
        </w:rPr>
        <w:t>BK 281</w:t>
      </w:r>
      <w:r w:rsidR="0002388D" w:rsidRPr="008436E8">
        <w:rPr>
          <w:szCs w:val="20"/>
          <w:vertAlign w:val="superscript"/>
          <w:lang w:val="lt-LT"/>
        </w:rPr>
        <w:t xml:space="preserve">1 </w:t>
      </w:r>
      <w:r w:rsidR="0002388D" w:rsidRPr="008436E8">
        <w:rPr>
          <w:szCs w:val="20"/>
          <w:lang w:val="lt-LT"/>
        </w:rPr>
        <w:t>straipsnio 1 dalies prasme motorine transporto priemone nelaikytinas ir už tokios transporto priemonės vairavimą esant vairuotojui neblaiviam baudžiamoji atsakomybė nekyla</w:t>
      </w:r>
      <w:r w:rsidR="0002388D" w:rsidRPr="008436E8">
        <w:rPr>
          <w:lang w:val="lt-LT"/>
        </w:rPr>
        <w:t xml:space="preserve">. Apeliacinės instancijos teismas padarė išvadą, kad motorinį dviratį vairuojančiam asmeniui, kuris tai daro būdamas neblaivus, kai jam nustatomas didesnis nei 1,51 </w:t>
      </w:r>
      <w:r w:rsidR="00CF7B0B" w:rsidRPr="008436E8">
        <w:rPr>
          <w:lang w:val="lt-LT"/>
        </w:rPr>
        <w:t xml:space="preserve">promilės </w:t>
      </w:r>
      <w:r w:rsidR="0002388D" w:rsidRPr="008436E8">
        <w:rPr>
          <w:lang w:val="lt-LT"/>
        </w:rPr>
        <w:t xml:space="preserve">girtumas, galima tiek baudžiamoji, tiek ir administracinė atsakomybė ir kad </w:t>
      </w:r>
      <w:bookmarkStart w:id="11" w:name="Buk_21"/>
      <w:r w:rsidRPr="009C47A2">
        <w:rPr>
          <w:lang w:val="lt-LT"/>
        </w:rPr>
        <w:t xml:space="preserve">L. L. </w:t>
      </w:r>
      <w:bookmarkEnd w:id="11"/>
      <w:r w:rsidR="0002388D" w:rsidRPr="008436E8">
        <w:rPr>
          <w:lang w:val="lt-LT"/>
        </w:rPr>
        <w:t xml:space="preserve">veiksmai nesiekia tokio pavojingumo lygio, </w:t>
      </w:r>
      <w:r w:rsidR="00CF7B0B" w:rsidRPr="008436E8">
        <w:rPr>
          <w:lang w:val="lt-LT"/>
        </w:rPr>
        <w:t xml:space="preserve">kad </w:t>
      </w:r>
      <w:r w:rsidR="0002388D" w:rsidRPr="008436E8">
        <w:rPr>
          <w:lang w:val="lt-LT"/>
        </w:rPr>
        <w:t xml:space="preserve">jam būtų būtina taikyti baudžiamąją atsakomybę. Kasaciniame skunde nurodoma, kad </w:t>
      </w:r>
      <w:bookmarkStart w:id="12" w:name="Buk_22"/>
      <w:r w:rsidRPr="009C47A2">
        <w:rPr>
          <w:lang w:val="lt-LT"/>
        </w:rPr>
        <w:t xml:space="preserve">L. L. </w:t>
      </w:r>
      <w:bookmarkEnd w:id="12"/>
      <w:r w:rsidR="0002388D" w:rsidRPr="008436E8">
        <w:rPr>
          <w:lang w:val="lt-LT"/>
        </w:rPr>
        <w:t xml:space="preserve">vairuota transporto priemonė pagal techninius parametrus atitinka mopedo sąvoką, apibrėžtą </w:t>
      </w:r>
      <w:r w:rsidR="0002388D" w:rsidRPr="008436E8">
        <w:rPr>
          <w:color w:val="000000"/>
          <w:shd w:val="clear" w:color="auto" w:fill="FFFFFF"/>
          <w:lang w:val="lt-LT"/>
        </w:rPr>
        <w:t xml:space="preserve">SEAKĮ 2 straipsnio 33 dalyje, todėl </w:t>
      </w:r>
      <w:bookmarkStart w:id="13" w:name="Buk_38"/>
      <w:r w:rsidRPr="009C47A2">
        <w:rPr>
          <w:lang w:val="lt-LT"/>
        </w:rPr>
        <w:t xml:space="preserve">L. L. </w:t>
      </w:r>
      <w:bookmarkEnd w:id="13"/>
      <w:r w:rsidR="0002388D" w:rsidRPr="008436E8">
        <w:rPr>
          <w:lang w:val="lt-LT"/>
        </w:rPr>
        <w:t xml:space="preserve">trauktinas baudžiamojon atsakomybėn pagal </w:t>
      </w:r>
      <w:r w:rsidR="0002388D" w:rsidRPr="008436E8">
        <w:rPr>
          <w:szCs w:val="20"/>
          <w:lang w:val="lt-LT"/>
        </w:rPr>
        <w:t>BK</w:t>
      </w:r>
      <w:r w:rsidR="00CF7B0B" w:rsidRPr="008436E8">
        <w:rPr>
          <w:szCs w:val="20"/>
          <w:lang w:val="lt-LT"/>
        </w:rPr>
        <w:t> </w:t>
      </w:r>
      <w:r w:rsidR="0002388D" w:rsidRPr="008436E8">
        <w:rPr>
          <w:szCs w:val="20"/>
          <w:lang w:val="lt-LT"/>
        </w:rPr>
        <w:t>281</w:t>
      </w:r>
      <w:r w:rsidR="0002388D" w:rsidRPr="008436E8">
        <w:rPr>
          <w:szCs w:val="20"/>
          <w:vertAlign w:val="superscript"/>
          <w:lang w:val="lt-LT"/>
        </w:rPr>
        <w:t>1</w:t>
      </w:r>
      <w:r w:rsidR="00CF7B0B" w:rsidRPr="008436E8">
        <w:rPr>
          <w:szCs w:val="20"/>
          <w:vertAlign w:val="superscript"/>
          <w:lang w:val="lt-LT"/>
        </w:rPr>
        <w:t> </w:t>
      </w:r>
      <w:r w:rsidR="0002388D" w:rsidRPr="008436E8">
        <w:rPr>
          <w:szCs w:val="20"/>
          <w:lang w:val="lt-LT"/>
        </w:rPr>
        <w:t>straipsnio 1 dalį</w:t>
      </w:r>
      <w:r w:rsidR="0002388D" w:rsidRPr="008436E8">
        <w:rPr>
          <w:color w:val="000000"/>
          <w:shd w:val="clear" w:color="auto" w:fill="FFFFFF"/>
          <w:lang w:val="lt-LT"/>
        </w:rPr>
        <w:t>.</w:t>
      </w:r>
    </w:p>
    <w:p w14:paraId="1A717354" w14:textId="6DDD303B" w:rsidR="00F61765" w:rsidRPr="008436E8" w:rsidRDefault="0002388D" w:rsidP="00F61765">
      <w:pPr>
        <w:pStyle w:val="Sraopastraipa"/>
        <w:numPr>
          <w:ilvl w:val="0"/>
          <w:numId w:val="26"/>
        </w:numPr>
        <w:tabs>
          <w:tab w:val="left" w:pos="780"/>
        </w:tabs>
        <w:spacing w:after="120"/>
        <w:ind w:left="357" w:hanging="357"/>
        <w:contextualSpacing w:val="0"/>
        <w:jc w:val="both"/>
        <w:rPr>
          <w:lang w:val="lt-LT"/>
        </w:rPr>
      </w:pPr>
      <w:r w:rsidRPr="008436E8">
        <w:rPr>
          <w:lang w:val="lt-LT"/>
        </w:rPr>
        <w:t>Pagal BK 281</w:t>
      </w:r>
      <w:r w:rsidRPr="008436E8">
        <w:rPr>
          <w:vertAlign w:val="superscript"/>
          <w:lang w:val="lt-LT"/>
        </w:rPr>
        <w:t>1</w:t>
      </w:r>
      <w:r w:rsidRPr="008436E8">
        <w:rPr>
          <w:lang w:val="lt-LT"/>
        </w:rPr>
        <w:t xml:space="preserve"> straipsnio 1 dalį atsako, be kita ko, tas, kas vairavo motorinę transporto priemonę, traktorių ar savaeigę mašiną būdamas neblaivus, kai jam nustatytas 1,51 ir daugiau promilių neblaivumas. Motorinė transporto priemonė – variklį turinti transporto priemonė, išskyrus skirtas judėti ne keliais bėgines transporto priemones, traktorius ir savaeiges mašinas (</w:t>
      </w:r>
      <w:r w:rsidRPr="008436E8">
        <w:rPr>
          <w:iCs/>
          <w:lang w:val="lt-LT"/>
        </w:rPr>
        <w:t>SEAKĮ</w:t>
      </w:r>
      <w:r w:rsidR="00CF7B0B" w:rsidRPr="008436E8">
        <w:rPr>
          <w:iCs/>
          <w:lang w:val="lt-LT"/>
        </w:rPr>
        <w:t> </w:t>
      </w:r>
      <w:r w:rsidRPr="008436E8">
        <w:rPr>
          <w:iCs/>
          <w:lang w:val="lt-LT"/>
        </w:rPr>
        <w:t>2 straipsnio 36 dalis</w:t>
      </w:r>
      <w:r w:rsidRPr="008436E8">
        <w:rPr>
          <w:lang w:val="lt-LT"/>
        </w:rPr>
        <w:t xml:space="preserve">). </w:t>
      </w:r>
      <w:bookmarkStart w:id="14" w:name="Buk_39"/>
      <w:r w:rsidR="009C47A2" w:rsidRPr="009C47A2">
        <w:rPr>
          <w:lang w:val="lt-LT"/>
        </w:rPr>
        <w:t xml:space="preserve">L. L. </w:t>
      </w:r>
      <w:bookmarkEnd w:id="14"/>
      <w:r w:rsidRPr="008436E8">
        <w:rPr>
          <w:lang w:val="lt-LT"/>
        </w:rPr>
        <w:t xml:space="preserve">vairavo dviratį, turintį variklį, todėl jis vairavo motorinę </w:t>
      </w:r>
      <w:r w:rsidRPr="008436E8">
        <w:rPr>
          <w:lang w:val="lt-LT"/>
        </w:rPr>
        <w:lastRenderedPageBreak/>
        <w:t>transporto priemonę. ANK 428 straipsnio 8 dalyje nustatyta atsakomybė, be kita ko, už dviračių, motorinių dviračių, elektrinių mikrojudumo priemonių vairavimą, vadeliojimą ir jojimą, kai tai daro neblaivūs (ne mažiau negu 1,51 promilės) ar apsvaigę nuo narkotinių, psichotropinių ar kitų psichiką veikiančių medžiagų asmenys. Taigi už motorinio dviračio vairavimą esant neblaiviam, kai nustatytas 1,51 ir daugiau promilių neblaivumas, yra nustatyta tiek baudžiamoji, tiek administracinė atsakomybė.</w:t>
      </w:r>
    </w:p>
    <w:p w14:paraId="3A007EBB" w14:textId="66FCA0FD" w:rsidR="00F61765" w:rsidRPr="008436E8" w:rsidRDefault="0002388D" w:rsidP="00F61765">
      <w:pPr>
        <w:pStyle w:val="Sraopastraipa"/>
        <w:numPr>
          <w:ilvl w:val="0"/>
          <w:numId w:val="26"/>
        </w:numPr>
        <w:tabs>
          <w:tab w:val="left" w:pos="780"/>
        </w:tabs>
        <w:spacing w:after="120"/>
        <w:ind w:left="357" w:hanging="357"/>
        <w:contextualSpacing w:val="0"/>
        <w:jc w:val="both"/>
        <w:rPr>
          <w:lang w:val="lt-LT"/>
        </w:rPr>
      </w:pPr>
      <w:r w:rsidRPr="008436E8">
        <w:rPr>
          <w:lang w:val="lt-LT"/>
        </w:rPr>
        <w:t>Teisinė situacija, kai tuos pačius visuomeninius santykius skirtingi įstatymai reguliuoja skirtingai, teisės teorijoje vadinama įstatymų kolizija. Tokia teisinė situacija yra įstatymų leidybos brokas ir ją turi spręsti įstatymų leidėjas. Kol įstatymų leidėjas to nepadarė, įstatymų kolizijos problemą turi spręsti įstatymus taikantys subjektai, vadovaudamiesi teisės teorijoje suformuluota taisykle –vėlesnė, naujesnė norma nugali senesniąją</w:t>
      </w:r>
      <w:r w:rsidRPr="008436E8">
        <w:rPr>
          <w:i/>
          <w:iCs/>
          <w:lang w:val="lt-LT"/>
        </w:rPr>
        <w:t xml:space="preserve"> </w:t>
      </w:r>
      <w:r w:rsidRPr="008436E8">
        <w:rPr>
          <w:lang w:val="lt-LT"/>
        </w:rPr>
        <w:t>(</w:t>
      </w:r>
      <w:r w:rsidR="00CF7B0B" w:rsidRPr="008436E8">
        <w:rPr>
          <w:lang w:val="lt-LT"/>
        </w:rPr>
        <w:t>lot.</w:t>
      </w:r>
      <w:r w:rsidR="00CF7B0B" w:rsidRPr="008436E8">
        <w:rPr>
          <w:i/>
          <w:iCs/>
          <w:lang w:val="lt-LT"/>
        </w:rPr>
        <w:t xml:space="preserve"> l</w:t>
      </w:r>
      <w:r w:rsidRPr="008436E8">
        <w:rPr>
          <w:i/>
          <w:iCs/>
          <w:lang w:val="lt-LT"/>
        </w:rPr>
        <w:t>ex posterior derogat legi priori</w:t>
      </w:r>
      <w:r w:rsidRPr="008436E8">
        <w:rPr>
          <w:lang w:val="lt-LT"/>
        </w:rPr>
        <w:t>).</w:t>
      </w:r>
    </w:p>
    <w:p w14:paraId="49B230ED" w14:textId="12190F36" w:rsidR="0002388D" w:rsidRPr="008436E8" w:rsidRDefault="0002388D" w:rsidP="00F61765">
      <w:pPr>
        <w:pStyle w:val="Sraopastraipa"/>
        <w:numPr>
          <w:ilvl w:val="0"/>
          <w:numId w:val="26"/>
        </w:numPr>
        <w:tabs>
          <w:tab w:val="left" w:pos="780"/>
        </w:tabs>
        <w:spacing w:after="120"/>
        <w:ind w:left="357" w:hanging="357"/>
        <w:jc w:val="both"/>
        <w:rPr>
          <w:lang w:val="lt-LT"/>
        </w:rPr>
      </w:pPr>
      <w:r w:rsidRPr="008436E8">
        <w:rPr>
          <w:lang w:val="lt-LT"/>
        </w:rPr>
        <w:t xml:space="preserve">Baudžiamoji atsakomybė už kelių transporto priemonės vairavimą apsvaigus nuo alkoholio, kai kraujyje </w:t>
      </w:r>
      <w:r w:rsidR="00CF7B0B" w:rsidRPr="008436E8">
        <w:rPr>
          <w:lang w:val="lt-LT"/>
        </w:rPr>
        <w:t xml:space="preserve">yra </w:t>
      </w:r>
      <w:r w:rsidRPr="008436E8">
        <w:rPr>
          <w:lang w:val="lt-LT"/>
        </w:rPr>
        <w:t>daugiau negu 1,5 promilės alkoholio, buvo nustatyta 2015 m. birželio 25 d. įstatymu (BK 281 straipsnio 7 dalis</w:t>
      </w:r>
      <w:r w:rsidR="00BD2C22" w:rsidRPr="008436E8">
        <w:rPr>
          <w:lang w:val="lt-LT"/>
        </w:rPr>
        <w:t>,</w:t>
      </w:r>
      <w:r w:rsidRPr="008436E8">
        <w:rPr>
          <w:lang w:val="lt-LT"/>
        </w:rPr>
        <w:t xml:space="preserve"> įsigaliojo 2017 m. sausio 1 d.). Baudžiamoji atsakomybė už motorinės transporto priemonės vairavimą būnant neblaiviam, kai nustatytas 1,51 ir daugiau promilių neblaivumas, buvo nustatyta 2019 m. sausio 11 d. įstatymu (BK 281</w:t>
      </w:r>
      <w:r w:rsidRPr="008436E8">
        <w:rPr>
          <w:vertAlign w:val="superscript"/>
          <w:lang w:val="lt-LT"/>
        </w:rPr>
        <w:t>1</w:t>
      </w:r>
      <w:r w:rsidRPr="008436E8">
        <w:rPr>
          <w:lang w:val="lt-LT"/>
        </w:rPr>
        <w:t xml:space="preserve"> straipsnio 1 dalis, įsigaliojo 2019 m. balandžio 1 d.). Administracinė atsakomybė už motorinių dviračių vairavimą, kai tai daro neblaivūs (ne mažiau negu 1,51 promilės) ar apsvaigę nuo narkotinių, psichotropinių ar kitų psichiką veikiančių medžiagų asmenys</w:t>
      </w:r>
      <w:r w:rsidR="00652A79" w:rsidRPr="008436E8">
        <w:rPr>
          <w:lang w:val="lt-LT"/>
        </w:rPr>
        <w:t>,</w:t>
      </w:r>
      <w:r w:rsidRPr="008436E8">
        <w:rPr>
          <w:lang w:val="lt-LT"/>
        </w:rPr>
        <w:t xml:space="preserve"> buvo nustatyta 2022 m. spalio 10 d. įstatymu (ANK</w:t>
      </w:r>
      <w:r w:rsidR="00652A79" w:rsidRPr="008436E8">
        <w:rPr>
          <w:lang w:val="lt-LT"/>
        </w:rPr>
        <w:t> </w:t>
      </w:r>
      <w:r w:rsidRPr="008436E8">
        <w:rPr>
          <w:lang w:val="lt-LT"/>
        </w:rPr>
        <w:t>428</w:t>
      </w:r>
      <w:r w:rsidR="00652A79" w:rsidRPr="008436E8">
        <w:rPr>
          <w:lang w:val="lt-LT"/>
        </w:rPr>
        <w:t> </w:t>
      </w:r>
      <w:r w:rsidRPr="008436E8">
        <w:rPr>
          <w:lang w:val="lt-LT"/>
        </w:rPr>
        <w:t>straipsnio 8 dalis, įsigaliojo 2022 m</w:t>
      </w:r>
      <w:r w:rsidR="009F49CE" w:rsidRPr="008436E8">
        <w:rPr>
          <w:lang w:val="lt-LT"/>
        </w:rPr>
        <w:t>.</w:t>
      </w:r>
      <w:r w:rsidRPr="008436E8">
        <w:rPr>
          <w:lang w:val="lt-LT"/>
        </w:rPr>
        <w:t xml:space="preserve"> lapkričio 1 d.). Taigi įstatymas, kuriuo už motorinių dviračių vairavimą būnant neblaiviam, kai nustatytas 1,51 ir daugiau promilių neblaivumas, buvo nustatyta administracinė atsakomybė, yra naujesnis nei įstatymas, kuriuo už tokią pačią veiką buvo nustatyta baudžiamoji atsakomybė, todėl taikant minėtą įstatymų kolizijos išsprendimo taisyklę asmeniui, padariusiam tokią veiką, turi būti taikoma ANK 428 straipsnio 8</w:t>
      </w:r>
      <w:r w:rsidR="00652A79" w:rsidRPr="008436E8">
        <w:rPr>
          <w:lang w:val="lt-LT"/>
        </w:rPr>
        <w:t> </w:t>
      </w:r>
      <w:r w:rsidRPr="008436E8">
        <w:rPr>
          <w:lang w:val="lt-LT"/>
        </w:rPr>
        <w:t>dalyje nustatyta atsakomybė.</w:t>
      </w:r>
    </w:p>
    <w:p w14:paraId="540BD8F3" w14:textId="77777777" w:rsidR="0002388D" w:rsidRPr="008436E8" w:rsidRDefault="0002388D" w:rsidP="0051093E">
      <w:pPr>
        <w:pStyle w:val="Sraopastraipa"/>
        <w:tabs>
          <w:tab w:val="left" w:pos="780"/>
        </w:tabs>
        <w:ind w:left="357"/>
        <w:contextualSpacing w:val="0"/>
        <w:jc w:val="both"/>
        <w:rPr>
          <w:lang w:val="lt-LT"/>
        </w:rPr>
      </w:pPr>
    </w:p>
    <w:p w14:paraId="658ECED9" w14:textId="666949B4" w:rsidR="0002388D" w:rsidRPr="008436E8" w:rsidRDefault="0002388D" w:rsidP="008436E8">
      <w:pPr>
        <w:tabs>
          <w:tab w:val="left" w:pos="780"/>
        </w:tabs>
        <w:jc w:val="both"/>
        <w:rPr>
          <w:i/>
          <w:iCs/>
          <w:lang w:val="lt-LT"/>
        </w:rPr>
      </w:pPr>
      <w:r w:rsidRPr="008436E8">
        <w:rPr>
          <w:i/>
          <w:iCs/>
          <w:lang w:val="lt-LT"/>
        </w:rPr>
        <w:t>Dėl BK 281</w:t>
      </w:r>
      <w:r w:rsidRPr="008436E8">
        <w:rPr>
          <w:i/>
          <w:iCs/>
          <w:vertAlign w:val="superscript"/>
          <w:lang w:val="lt-LT"/>
        </w:rPr>
        <w:t>1</w:t>
      </w:r>
      <w:r w:rsidRPr="008436E8">
        <w:rPr>
          <w:i/>
          <w:iCs/>
          <w:lang w:val="lt-LT"/>
        </w:rPr>
        <w:t xml:space="preserve"> straipsnio 1 dalyje nurodyto</w:t>
      </w:r>
      <w:r w:rsidR="00BD2C22" w:rsidRPr="008436E8">
        <w:rPr>
          <w:i/>
          <w:iCs/>
          <w:lang w:val="lt-LT"/>
        </w:rPr>
        <w:t>s</w:t>
      </w:r>
      <w:r w:rsidRPr="008436E8">
        <w:rPr>
          <w:i/>
          <w:iCs/>
          <w:lang w:val="lt-LT"/>
        </w:rPr>
        <w:t xml:space="preserve"> nusikaltimo </w:t>
      </w:r>
      <w:r w:rsidR="00E45D95" w:rsidRPr="008436E8">
        <w:rPr>
          <w:i/>
          <w:iCs/>
          <w:lang w:val="lt-LT"/>
        </w:rPr>
        <w:t xml:space="preserve">padarymo </w:t>
      </w:r>
      <w:r w:rsidRPr="008436E8">
        <w:rPr>
          <w:i/>
          <w:iCs/>
          <w:lang w:val="lt-LT"/>
        </w:rPr>
        <w:t>priemonės</w:t>
      </w:r>
      <w:r w:rsidR="008E4839" w:rsidRPr="008436E8">
        <w:rPr>
          <w:i/>
          <w:iCs/>
          <w:lang w:val="lt-LT"/>
        </w:rPr>
        <w:t xml:space="preserve"> </w:t>
      </w:r>
      <w:r w:rsidR="00652A79" w:rsidRPr="008436E8">
        <w:rPr>
          <w:i/>
          <w:iCs/>
          <w:lang w:val="lt-LT"/>
        </w:rPr>
        <w:t xml:space="preserve">ir </w:t>
      </w:r>
      <w:r w:rsidR="008E4839" w:rsidRPr="008436E8">
        <w:rPr>
          <w:i/>
          <w:iCs/>
          <w:lang w:val="lt-LT"/>
        </w:rPr>
        <w:t>kitų tikslintinų klausimų</w:t>
      </w:r>
    </w:p>
    <w:p w14:paraId="32A23C3D" w14:textId="77777777" w:rsidR="0002388D" w:rsidRPr="008436E8" w:rsidRDefault="0002388D" w:rsidP="0051093E">
      <w:pPr>
        <w:pStyle w:val="Sraopastraipa"/>
        <w:tabs>
          <w:tab w:val="left" w:pos="780"/>
        </w:tabs>
        <w:ind w:left="357"/>
        <w:contextualSpacing w:val="0"/>
        <w:jc w:val="both"/>
        <w:rPr>
          <w:lang w:val="lt-LT"/>
        </w:rPr>
      </w:pPr>
    </w:p>
    <w:p w14:paraId="50DE4261" w14:textId="3E4F38A9" w:rsidR="00F61765" w:rsidRPr="008436E8" w:rsidRDefault="0002388D" w:rsidP="00F61765">
      <w:pPr>
        <w:pStyle w:val="Sraopastraipa"/>
        <w:numPr>
          <w:ilvl w:val="0"/>
          <w:numId w:val="26"/>
        </w:numPr>
        <w:tabs>
          <w:tab w:val="left" w:pos="780"/>
        </w:tabs>
        <w:spacing w:after="120"/>
        <w:ind w:left="357" w:hanging="357"/>
        <w:contextualSpacing w:val="0"/>
        <w:jc w:val="both"/>
        <w:rPr>
          <w:lang w:val="lt-LT"/>
        </w:rPr>
      </w:pPr>
      <w:r w:rsidRPr="008436E8">
        <w:rPr>
          <w:lang w:val="lt-LT"/>
        </w:rPr>
        <w:t>BK 281</w:t>
      </w:r>
      <w:r w:rsidRPr="008436E8">
        <w:rPr>
          <w:vertAlign w:val="superscript"/>
          <w:lang w:val="lt-LT"/>
        </w:rPr>
        <w:t>1</w:t>
      </w:r>
      <w:r w:rsidRPr="008436E8">
        <w:rPr>
          <w:lang w:val="lt-LT"/>
        </w:rPr>
        <w:t xml:space="preserve"> straipsnio 1 dalyje nurodyto nusikaltimo </w:t>
      </w:r>
      <w:r w:rsidR="005826D6" w:rsidRPr="008436E8">
        <w:rPr>
          <w:lang w:val="lt-LT"/>
        </w:rPr>
        <w:t xml:space="preserve">padarymo </w:t>
      </w:r>
      <w:r w:rsidRPr="008436E8">
        <w:rPr>
          <w:lang w:val="lt-LT"/>
        </w:rPr>
        <w:t>priemonė yra motorinė transporto priemonė, traktorius ar savaeigė mašina.</w:t>
      </w:r>
      <w:r w:rsidRPr="008436E8">
        <w:rPr>
          <w:iCs/>
          <w:lang w:val="lt-LT"/>
        </w:rPr>
        <w:t xml:space="preserve"> Byloje nustatyta, kad </w:t>
      </w:r>
      <w:bookmarkStart w:id="15" w:name="Buk_40"/>
      <w:r w:rsidR="009C47A2" w:rsidRPr="009C47A2">
        <w:rPr>
          <w:lang w:val="lt-LT"/>
        </w:rPr>
        <w:t xml:space="preserve">L. L. </w:t>
      </w:r>
      <w:bookmarkEnd w:id="15"/>
      <w:r w:rsidRPr="008436E8">
        <w:rPr>
          <w:lang w:val="lt-LT"/>
        </w:rPr>
        <w:t>važiavo</w:t>
      </w:r>
      <w:r w:rsidRPr="008436E8">
        <w:rPr>
          <w:szCs w:val="20"/>
          <w:lang w:val="lt-LT"/>
        </w:rPr>
        <w:t xml:space="preserve"> dviračiu „Minerva“, prie kurio rėmo pritvirtintas variklis „Samger“ ir </w:t>
      </w:r>
      <w:r w:rsidR="00652A79" w:rsidRPr="008436E8">
        <w:rPr>
          <w:szCs w:val="20"/>
          <w:lang w:val="lt-LT"/>
        </w:rPr>
        <w:t xml:space="preserve">degalų </w:t>
      </w:r>
      <w:r w:rsidRPr="008436E8">
        <w:rPr>
          <w:szCs w:val="20"/>
          <w:lang w:val="lt-LT"/>
        </w:rPr>
        <w:t xml:space="preserve">bakas, žarnele sujungtas su karbiuratoriumi. Šio </w:t>
      </w:r>
      <w:r w:rsidRPr="008436E8">
        <w:rPr>
          <w:lang w:val="lt-LT"/>
        </w:rPr>
        <w:t xml:space="preserve">dviračio maksimalus greitis važiuojant lygiu asfaltu yra apie 43 </w:t>
      </w:r>
      <w:r w:rsidRPr="008436E8">
        <w:rPr>
          <w:u w:val="single"/>
          <w:lang w:val="lt-LT"/>
        </w:rPr>
        <w:t>+</w:t>
      </w:r>
      <w:r w:rsidRPr="008436E8">
        <w:rPr>
          <w:lang w:val="lt-LT"/>
        </w:rPr>
        <w:t xml:space="preserve"> 1 km/h, </w:t>
      </w:r>
      <w:r w:rsidRPr="008436E8">
        <w:rPr>
          <w:szCs w:val="20"/>
          <w:lang w:val="lt-LT"/>
        </w:rPr>
        <w:t xml:space="preserve">variklio </w:t>
      </w:r>
      <w:r w:rsidRPr="008436E8">
        <w:rPr>
          <w:lang w:val="lt-LT"/>
        </w:rPr>
        <w:t xml:space="preserve">mechaninė galia, reikalinga pasiektam maksimaliam greičiui palaikyti, yra apie 0,74 kW, darbinis tūris – apie 66 </w:t>
      </w:r>
      <w:r w:rsidR="00652A79" w:rsidRPr="008436E8">
        <w:rPr>
          <w:lang w:val="lt-LT"/>
        </w:rPr>
        <w:t xml:space="preserve">kub. </w:t>
      </w:r>
      <w:r w:rsidRPr="008436E8">
        <w:rPr>
          <w:lang w:val="lt-LT"/>
        </w:rPr>
        <w:t>cm.</w:t>
      </w:r>
      <w:r w:rsidRPr="008436E8">
        <w:rPr>
          <w:szCs w:val="20"/>
          <w:lang w:val="lt-LT"/>
        </w:rPr>
        <w:t xml:space="preserve"> </w:t>
      </w:r>
      <w:r w:rsidRPr="008436E8">
        <w:rPr>
          <w:lang w:val="lt-LT"/>
        </w:rPr>
        <w:t xml:space="preserve">Taigi </w:t>
      </w:r>
      <w:bookmarkStart w:id="16" w:name="Buk_41"/>
      <w:r w:rsidR="009C47A2" w:rsidRPr="009C47A2">
        <w:rPr>
          <w:lang w:val="lt-LT"/>
        </w:rPr>
        <w:t xml:space="preserve">L. L. </w:t>
      </w:r>
      <w:bookmarkEnd w:id="16"/>
      <w:r w:rsidRPr="008436E8">
        <w:rPr>
          <w:lang w:val="lt-LT"/>
        </w:rPr>
        <w:t xml:space="preserve">vairavo savadarbę motorinę transporto priemonę. Apeliacinės instancijos teismas padarė išvadą, kad </w:t>
      </w:r>
      <w:bookmarkStart w:id="17" w:name="Buk_42"/>
      <w:r w:rsidR="009C47A2" w:rsidRPr="009C47A2">
        <w:rPr>
          <w:lang w:val="lt-LT"/>
        </w:rPr>
        <w:t xml:space="preserve">L. L. </w:t>
      </w:r>
      <w:bookmarkEnd w:id="17"/>
      <w:r w:rsidRPr="008436E8">
        <w:rPr>
          <w:lang w:val="lt-LT"/>
        </w:rPr>
        <w:t>vairavo motorinį dviratį.</w:t>
      </w:r>
    </w:p>
    <w:p w14:paraId="6483F909" w14:textId="1924806B" w:rsidR="00F61765" w:rsidRPr="008436E8" w:rsidRDefault="00DD7138" w:rsidP="00F61765">
      <w:pPr>
        <w:pStyle w:val="Sraopastraipa"/>
        <w:numPr>
          <w:ilvl w:val="0"/>
          <w:numId w:val="26"/>
        </w:numPr>
        <w:tabs>
          <w:tab w:val="left" w:pos="780"/>
        </w:tabs>
        <w:spacing w:after="120"/>
        <w:ind w:left="357" w:hanging="357"/>
        <w:contextualSpacing w:val="0"/>
        <w:jc w:val="both"/>
        <w:rPr>
          <w:lang w:val="lt-LT"/>
        </w:rPr>
      </w:pPr>
      <w:r w:rsidRPr="008436E8">
        <w:rPr>
          <w:iCs/>
          <w:lang w:val="lt-LT"/>
        </w:rPr>
        <w:t xml:space="preserve">Pagrindinius su transporto priemonių technine būkle susijusius reikalavimus nustato </w:t>
      </w:r>
      <w:r w:rsidR="000F1503" w:rsidRPr="008436E8">
        <w:rPr>
          <w:iCs/>
          <w:lang w:val="lt-LT"/>
        </w:rPr>
        <w:t xml:space="preserve">SEAKĮ </w:t>
      </w:r>
      <w:r w:rsidRPr="008436E8">
        <w:rPr>
          <w:iCs/>
          <w:lang w:val="lt-LT"/>
        </w:rPr>
        <w:t>(1</w:t>
      </w:r>
      <w:r w:rsidR="00652A79" w:rsidRPr="008436E8">
        <w:rPr>
          <w:iCs/>
          <w:lang w:val="lt-LT"/>
        </w:rPr>
        <w:t> </w:t>
      </w:r>
      <w:r w:rsidRPr="008436E8">
        <w:rPr>
          <w:iCs/>
          <w:lang w:val="lt-LT"/>
        </w:rPr>
        <w:t>straipsnis). Šiame įstatyme apibrėžtos ir transporto priemonių rūšys. Motorinis dviratis – ne mažiau kaip du ratus turinti transporto priemonė, kuri varoma ja važiuojančio asmens raumenų jėga, naudojant pedalus ar rankenas, ir turi pagalbinį vidaus degimo variklį ar elektros variklį, kurių didžiausioji naudingoji galia ne didesnė kaip 1 kW, ir kurios didžiausiasis projektinis greitis ne didesnis kaip 25 km/h; pagalbinis variklis nustoja veikti transporto priemonei pasiekus 25 km/h greitį (SEAKĮ 2 straipsnio 40 dalis). Mopedas – dviratė motorinė transporto priemonė, kurios didžiausiasis projektinis greitis didesnis kaip 25 km/h, bet ne didesnis kaip 45 km/h ir kurios variklio darbinis tūris ne didesnis kaip 50 </w:t>
      </w:r>
      <w:r w:rsidR="00652A79" w:rsidRPr="008436E8">
        <w:rPr>
          <w:iCs/>
          <w:lang w:val="lt-LT"/>
        </w:rPr>
        <w:t xml:space="preserve">kub. </w:t>
      </w:r>
      <w:r w:rsidRPr="008436E8">
        <w:rPr>
          <w:iCs/>
          <w:lang w:val="lt-LT"/>
        </w:rPr>
        <w:t>cm (esant vidaus degimo varikliui), o didžiausioji naudingoji galia ne didesnė kaip 4 kW (esant elektros varikliui), ar triratė motorinė transporto priemonė, kurios didžiausiasis projektinis greitis didesnis kaip 25 km/h, bet ne didesnis kaip 45</w:t>
      </w:r>
      <w:r w:rsidR="00652A79" w:rsidRPr="008436E8">
        <w:rPr>
          <w:iCs/>
          <w:lang w:val="lt-LT"/>
        </w:rPr>
        <w:t> </w:t>
      </w:r>
      <w:r w:rsidRPr="008436E8">
        <w:rPr>
          <w:iCs/>
          <w:lang w:val="lt-LT"/>
        </w:rPr>
        <w:t xml:space="preserve">km/h ir kurios variklio darbinis tūris ne didesnis kaip 50 </w:t>
      </w:r>
      <w:r w:rsidR="00652A79" w:rsidRPr="008436E8">
        <w:rPr>
          <w:iCs/>
          <w:lang w:val="lt-LT"/>
        </w:rPr>
        <w:t xml:space="preserve">kub. </w:t>
      </w:r>
      <w:r w:rsidRPr="008436E8">
        <w:rPr>
          <w:iCs/>
          <w:lang w:val="lt-LT"/>
        </w:rPr>
        <w:t xml:space="preserve">cm (esant kibirkštinio (priverstinio) uždegimo varikliui), didžiausioji naudingoji galia ne didesnė kaip 4 kW (esant kitokio tipo vidaus degimo varikliui), o didžiausioji naudingoji galia ne didesnė kaip 4 kW (esant elektros varikliui) (SEAKĮ 2 straipsnio 33 dalis). Motociklas – dviratė motorinė transporto </w:t>
      </w:r>
      <w:r w:rsidRPr="008436E8">
        <w:rPr>
          <w:iCs/>
          <w:lang w:val="lt-LT"/>
        </w:rPr>
        <w:lastRenderedPageBreak/>
        <w:t xml:space="preserve">priemonė (su šonine priekaba arba be jos), kurios vidaus degimo variklio darbinis tūris didesnis kaip 50 </w:t>
      </w:r>
      <w:r w:rsidR="00652A79" w:rsidRPr="008436E8">
        <w:rPr>
          <w:iCs/>
          <w:lang w:val="lt-LT"/>
        </w:rPr>
        <w:t xml:space="preserve">kub. </w:t>
      </w:r>
      <w:r w:rsidRPr="008436E8">
        <w:rPr>
          <w:iCs/>
          <w:lang w:val="lt-LT"/>
        </w:rPr>
        <w:t>cm ir (arba) didžiausiasis projektinis greitis didesnis kaip 45 km/h (SEAKĮ</w:t>
      </w:r>
      <w:r w:rsidR="00652A79" w:rsidRPr="008436E8">
        <w:rPr>
          <w:iCs/>
          <w:lang w:val="lt-LT"/>
        </w:rPr>
        <w:t> </w:t>
      </w:r>
      <w:r w:rsidRPr="008436E8">
        <w:rPr>
          <w:iCs/>
          <w:lang w:val="lt-LT"/>
        </w:rPr>
        <w:t xml:space="preserve">2 straipsnio 34 dalis). Pažymėtina, kad SEAKĮ 2 straipsnio 33 ir 40 dalyse nurodyti ribiniai mopedų ir motorinių dviračių techninių charakteristikų dydžiai, todėl jeigu nors vienas iš šių dydžių viršija SEAKĮ nurodytus dydžius, transporto priemonė negali būti priskirta atitinkamai mopedams ar motoriniams dviračiams. </w:t>
      </w:r>
    </w:p>
    <w:p w14:paraId="78391D75" w14:textId="4D9C28C7" w:rsidR="00F61765" w:rsidRPr="008436E8" w:rsidRDefault="009C47A2" w:rsidP="00F61765">
      <w:pPr>
        <w:pStyle w:val="Sraopastraipa"/>
        <w:numPr>
          <w:ilvl w:val="0"/>
          <w:numId w:val="26"/>
        </w:numPr>
        <w:tabs>
          <w:tab w:val="left" w:pos="780"/>
        </w:tabs>
        <w:spacing w:after="120"/>
        <w:ind w:left="357" w:hanging="357"/>
        <w:contextualSpacing w:val="0"/>
        <w:jc w:val="both"/>
        <w:rPr>
          <w:lang w:val="lt-LT"/>
        </w:rPr>
      </w:pPr>
      <w:bookmarkStart w:id="18" w:name="Buk_23"/>
      <w:r w:rsidRPr="009C47A2">
        <w:rPr>
          <w:lang w:val="lt-LT"/>
        </w:rPr>
        <w:t xml:space="preserve">L. L. </w:t>
      </w:r>
      <w:bookmarkEnd w:id="18"/>
      <w:r w:rsidR="00DD7138" w:rsidRPr="008436E8">
        <w:rPr>
          <w:lang w:val="lt-LT"/>
        </w:rPr>
        <w:t xml:space="preserve">vairuotos savadarbės motorinės transporto priemonės techninės charakteristikos tiesiogiai neatitinka </w:t>
      </w:r>
      <w:r w:rsidR="00652A79" w:rsidRPr="008436E8">
        <w:rPr>
          <w:lang w:val="lt-LT"/>
        </w:rPr>
        <w:t xml:space="preserve">nė </w:t>
      </w:r>
      <w:r w:rsidR="00DD7138" w:rsidRPr="008436E8">
        <w:rPr>
          <w:lang w:val="lt-LT"/>
        </w:rPr>
        <w:t xml:space="preserve">vienos iš </w:t>
      </w:r>
      <w:r w:rsidR="00DD7138" w:rsidRPr="008436E8">
        <w:rPr>
          <w:iCs/>
          <w:lang w:val="lt-LT"/>
        </w:rPr>
        <w:t>SEAKĮ 2 straipsnyje apibūdintų motorinių transporto priemonių charakteristikų</w:t>
      </w:r>
      <w:r w:rsidR="00DD7138" w:rsidRPr="008436E8">
        <w:rPr>
          <w:rFonts w:asciiTheme="majorBidi" w:hAnsiTheme="majorBidi" w:cstheme="majorBidi"/>
          <w:lang w:val="lt-LT"/>
        </w:rPr>
        <w:t xml:space="preserve">. Šios transporto priemonės maksimalus greitis atitinka mopedams nustatytą greitį, variklio darbinis tūris – motociklams nustatytą tūrį. Be to, specialisto išvadoje nustatyta ne </w:t>
      </w:r>
      <w:bookmarkStart w:id="19" w:name="Buk_24"/>
      <w:r w:rsidRPr="009C47A2">
        <w:rPr>
          <w:lang w:val="lt-LT"/>
        </w:rPr>
        <w:t xml:space="preserve">L. L. </w:t>
      </w:r>
      <w:bookmarkEnd w:id="19"/>
      <w:r w:rsidR="00DD7138" w:rsidRPr="008436E8">
        <w:rPr>
          <w:lang w:val="lt-LT"/>
        </w:rPr>
        <w:t>vairuotos motorinės transporto priemonės</w:t>
      </w:r>
      <w:r w:rsidR="00DD7138" w:rsidRPr="008436E8">
        <w:rPr>
          <w:rFonts w:asciiTheme="majorBidi" w:hAnsiTheme="majorBidi" w:cstheme="majorBidi"/>
          <w:lang w:val="lt-LT"/>
        </w:rPr>
        <w:t xml:space="preserve"> variklio </w:t>
      </w:r>
      <w:r w:rsidR="00DD7138" w:rsidRPr="008436E8">
        <w:rPr>
          <w:iCs/>
          <w:lang w:val="lt-LT"/>
        </w:rPr>
        <w:t xml:space="preserve">didžiausioji naudingoji galia, o </w:t>
      </w:r>
      <w:r w:rsidR="00DD7138" w:rsidRPr="008436E8">
        <w:rPr>
          <w:szCs w:val="20"/>
          <w:lang w:val="lt-LT"/>
        </w:rPr>
        <w:t xml:space="preserve">variklio </w:t>
      </w:r>
      <w:r w:rsidR="00DD7138" w:rsidRPr="008436E8">
        <w:rPr>
          <w:lang w:val="lt-LT"/>
        </w:rPr>
        <w:t>mechaninė galia, reikalinga pasiektam maksimaliam greičiui palaikyti</w:t>
      </w:r>
      <w:r w:rsidR="00116891" w:rsidRPr="008436E8">
        <w:rPr>
          <w:lang w:val="lt-LT"/>
        </w:rPr>
        <w:t xml:space="preserve"> (apie 0,74 kW)</w:t>
      </w:r>
      <w:r w:rsidR="00DD7138" w:rsidRPr="008436E8">
        <w:rPr>
          <w:lang w:val="lt-LT"/>
        </w:rPr>
        <w:t xml:space="preserve">, todėl pagal šį rodiklį ši transporto priemonė negali būti priskirta motoriniams dviračiams. Taigi </w:t>
      </w:r>
      <w:bookmarkStart w:id="20" w:name="Buk_25"/>
      <w:r w:rsidRPr="009C47A2">
        <w:rPr>
          <w:lang w:val="lt-LT"/>
        </w:rPr>
        <w:t xml:space="preserve">L. L. </w:t>
      </w:r>
      <w:bookmarkEnd w:id="20"/>
      <w:r w:rsidR="00DD7138" w:rsidRPr="008436E8">
        <w:rPr>
          <w:lang w:val="lt-LT"/>
        </w:rPr>
        <w:t xml:space="preserve">vairuota savadarbė motorinė transporto priemonė negali būti priskirta motoriniams dviračiams, nes mažiausiai dvi šios transporto priemonės techninės charakteristikos viršija </w:t>
      </w:r>
      <w:r w:rsidR="00DD7138" w:rsidRPr="008436E8">
        <w:rPr>
          <w:iCs/>
          <w:lang w:val="lt-LT"/>
        </w:rPr>
        <w:t>SEAKĮ 2 straipsnio 40</w:t>
      </w:r>
      <w:r w:rsidR="008739C2">
        <w:rPr>
          <w:iCs/>
          <w:lang w:val="lt-LT"/>
        </w:rPr>
        <w:t> </w:t>
      </w:r>
      <w:r w:rsidR="00DD7138" w:rsidRPr="008436E8">
        <w:rPr>
          <w:iCs/>
          <w:lang w:val="lt-LT"/>
        </w:rPr>
        <w:t>dalyje nurodyt</w:t>
      </w:r>
      <w:r w:rsidR="00652A79" w:rsidRPr="008436E8">
        <w:rPr>
          <w:iCs/>
          <w:lang w:val="lt-LT"/>
        </w:rPr>
        <w:t>a</w:t>
      </w:r>
      <w:r w:rsidR="00DD7138" w:rsidRPr="008436E8">
        <w:rPr>
          <w:iCs/>
          <w:lang w:val="lt-LT"/>
        </w:rPr>
        <w:t>s motorinių dviračių technines charakteristikas.</w:t>
      </w:r>
      <w:r w:rsidR="009011E7" w:rsidRPr="008436E8">
        <w:rPr>
          <w:iCs/>
          <w:lang w:val="lt-LT"/>
        </w:rPr>
        <w:t xml:space="preserve"> Atsi</w:t>
      </w:r>
      <w:r w:rsidR="00242CA0" w:rsidRPr="008436E8">
        <w:rPr>
          <w:iCs/>
          <w:lang w:val="lt-LT"/>
        </w:rPr>
        <w:t>ž</w:t>
      </w:r>
      <w:r w:rsidR="009011E7" w:rsidRPr="008436E8">
        <w:rPr>
          <w:iCs/>
          <w:lang w:val="lt-LT"/>
        </w:rPr>
        <w:t xml:space="preserve">velgiant į </w:t>
      </w:r>
      <w:r w:rsidR="00652A79" w:rsidRPr="008436E8">
        <w:rPr>
          <w:iCs/>
          <w:lang w:val="lt-LT"/>
        </w:rPr>
        <w:t>tai, kas išdėstyta</w:t>
      </w:r>
      <w:r w:rsidR="00242CA0" w:rsidRPr="008436E8">
        <w:rPr>
          <w:iCs/>
          <w:lang w:val="lt-LT"/>
        </w:rPr>
        <w:t>,</w:t>
      </w:r>
      <w:r w:rsidR="009011E7" w:rsidRPr="008436E8">
        <w:rPr>
          <w:iCs/>
          <w:lang w:val="lt-LT"/>
        </w:rPr>
        <w:t xml:space="preserve"> apeliacinės instancijos teismo išvada, kad „</w:t>
      </w:r>
      <w:r w:rsidR="009011E7" w:rsidRPr="008436E8">
        <w:rPr>
          <w:lang w:val="lt-LT"/>
        </w:rPr>
        <w:t>transporto priemonės galia yra tas kriterijus, kuris leidžia klasifikuoti jas į kategorijas pagal SEAKĮ 2 straipsnį</w:t>
      </w:r>
      <w:r w:rsidR="00652A79" w:rsidRPr="008436E8">
        <w:rPr>
          <w:lang w:val="lt-LT"/>
        </w:rPr>
        <w:t>“,</w:t>
      </w:r>
      <w:r w:rsidR="009011E7" w:rsidRPr="008436E8">
        <w:rPr>
          <w:lang w:val="lt-LT"/>
        </w:rPr>
        <w:t xml:space="preserve"> neatitinka nei </w:t>
      </w:r>
      <w:r w:rsidR="00652A79" w:rsidRPr="008436E8">
        <w:rPr>
          <w:lang w:val="lt-LT"/>
        </w:rPr>
        <w:t>įstatym</w:t>
      </w:r>
      <w:r w:rsidR="00052329" w:rsidRPr="008436E8">
        <w:rPr>
          <w:lang w:val="lt-LT"/>
        </w:rPr>
        <w:t>u</w:t>
      </w:r>
      <w:r w:rsidR="00652A79" w:rsidRPr="008436E8">
        <w:rPr>
          <w:lang w:val="lt-LT"/>
        </w:rPr>
        <w:t xml:space="preserve"> įtvirtinto </w:t>
      </w:r>
      <w:r w:rsidR="009011E7" w:rsidRPr="008436E8">
        <w:rPr>
          <w:lang w:val="lt-LT"/>
        </w:rPr>
        <w:t xml:space="preserve">reguliavimo, nei bylos medžiagoje nustatytų faktinių aplinkybių. </w:t>
      </w:r>
    </w:p>
    <w:p w14:paraId="7C7B8CC3" w14:textId="4CC9B23F" w:rsidR="00F61765" w:rsidRPr="008436E8" w:rsidRDefault="00DD7138" w:rsidP="00F61765">
      <w:pPr>
        <w:pStyle w:val="Sraopastraipa"/>
        <w:numPr>
          <w:ilvl w:val="0"/>
          <w:numId w:val="26"/>
        </w:numPr>
        <w:tabs>
          <w:tab w:val="left" w:pos="780"/>
        </w:tabs>
        <w:spacing w:after="120"/>
        <w:ind w:left="357" w:hanging="357"/>
        <w:contextualSpacing w:val="0"/>
        <w:jc w:val="both"/>
        <w:rPr>
          <w:lang w:val="lt-LT"/>
        </w:rPr>
      </w:pPr>
      <w:r w:rsidRPr="008436E8">
        <w:rPr>
          <w:lang w:val="lt-LT"/>
        </w:rPr>
        <w:t>Atsižvelgiant į išdėstytus argumentus</w:t>
      </w:r>
      <w:r w:rsidR="00116891" w:rsidRPr="008436E8">
        <w:rPr>
          <w:lang w:val="lt-LT"/>
        </w:rPr>
        <w:t>,</w:t>
      </w:r>
      <w:r w:rsidRPr="008436E8">
        <w:rPr>
          <w:lang w:val="lt-LT"/>
        </w:rPr>
        <w:t xml:space="preserve"> darytina išvada, kad </w:t>
      </w:r>
      <w:bookmarkStart w:id="21" w:name="Buk_26"/>
      <w:r w:rsidR="009C47A2" w:rsidRPr="009C47A2">
        <w:rPr>
          <w:lang w:val="lt-LT"/>
        </w:rPr>
        <w:t xml:space="preserve">L. L. </w:t>
      </w:r>
      <w:bookmarkEnd w:id="21"/>
      <w:r w:rsidRPr="008436E8">
        <w:rPr>
          <w:lang w:val="lt-LT"/>
        </w:rPr>
        <w:t>vairuota savadarbė motorinė transporto priemonė yra BK 281</w:t>
      </w:r>
      <w:r w:rsidRPr="008436E8">
        <w:rPr>
          <w:vertAlign w:val="superscript"/>
          <w:lang w:val="lt-LT"/>
        </w:rPr>
        <w:t>1</w:t>
      </w:r>
      <w:r w:rsidRPr="008436E8">
        <w:rPr>
          <w:lang w:val="lt-LT"/>
        </w:rPr>
        <w:t xml:space="preserve"> straipsnio 1 dalyje nurodyto nusikaltimo </w:t>
      </w:r>
      <w:r w:rsidR="000F1503" w:rsidRPr="008436E8">
        <w:rPr>
          <w:lang w:val="lt-LT"/>
        </w:rPr>
        <w:t xml:space="preserve">padarymo </w:t>
      </w:r>
      <w:r w:rsidRPr="008436E8">
        <w:rPr>
          <w:lang w:val="lt-LT"/>
        </w:rPr>
        <w:t>priemonė. Apeliacinės instancijos teismas</w:t>
      </w:r>
      <w:r w:rsidR="00652A79" w:rsidRPr="008436E8">
        <w:rPr>
          <w:lang w:val="lt-LT"/>
        </w:rPr>
        <w:t>,</w:t>
      </w:r>
      <w:r w:rsidRPr="008436E8">
        <w:rPr>
          <w:lang w:val="lt-LT"/>
        </w:rPr>
        <w:t xml:space="preserve"> </w:t>
      </w:r>
      <w:bookmarkStart w:id="22" w:name="Buk_27"/>
      <w:r w:rsidR="009C47A2" w:rsidRPr="009C47A2">
        <w:rPr>
          <w:lang w:val="lt-LT"/>
        </w:rPr>
        <w:t xml:space="preserve">L. L. </w:t>
      </w:r>
      <w:bookmarkEnd w:id="22"/>
      <w:r w:rsidRPr="008436E8">
        <w:rPr>
          <w:lang w:val="lt-LT"/>
        </w:rPr>
        <w:t xml:space="preserve">vairuotą savadarbę motorinę transporto priemonę priskirdamas motoriniams dviračiams, neteisingai aiškino ir taikė </w:t>
      </w:r>
      <w:r w:rsidRPr="008436E8">
        <w:rPr>
          <w:iCs/>
          <w:lang w:val="lt-LT"/>
        </w:rPr>
        <w:t>SEAKĮ</w:t>
      </w:r>
      <w:r w:rsidR="00065248" w:rsidRPr="008436E8">
        <w:rPr>
          <w:iCs/>
          <w:lang w:val="lt-LT"/>
        </w:rPr>
        <w:t> </w:t>
      </w:r>
      <w:r w:rsidRPr="008436E8">
        <w:rPr>
          <w:iCs/>
          <w:lang w:val="lt-LT"/>
        </w:rPr>
        <w:t>2 straipsnio 40 dalį.</w:t>
      </w:r>
      <w:r w:rsidR="009011E7" w:rsidRPr="008436E8">
        <w:rPr>
          <w:iCs/>
          <w:lang w:val="lt-LT"/>
        </w:rPr>
        <w:t xml:space="preserve"> </w:t>
      </w:r>
      <w:r w:rsidR="009011E7" w:rsidRPr="008436E8">
        <w:rPr>
          <w:lang w:val="lt-LT"/>
        </w:rPr>
        <w:t>Konstatavus, kad apeliacinės instancij</w:t>
      </w:r>
      <w:r w:rsidR="00652A79" w:rsidRPr="008436E8">
        <w:rPr>
          <w:lang w:val="lt-LT"/>
        </w:rPr>
        <w:t>os</w:t>
      </w:r>
      <w:r w:rsidR="009011E7" w:rsidRPr="008436E8">
        <w:rPr>
          <w:lang w:val="lt-LT"/>
        </w:rPr>
        <w:t xml:space="preserve"> teismas neteisingai aiškino ir taikė </w:t>
      </w:r>
      <w:r w:rsidR="009011E7" w:rsidRPr="008436E8">
        <w:rPr>
          <w:iCs/>
          <w:lang w:val="lt-LT"/>
        </w:rPr>
        <w:t>SEAKĮ 2 straipsnio 40 dalį</w:t>
      </w:r>
      <w:r w:rsidR="009011E7" w:rsidRPr="008436E8">
        <w:rPr>
          <w:lang w:val="lt-LT"/>
        </w:rPr>
        <w:t xml:space="preserve"> ir nepagrįstai </w:t>
      </w:r>
      <w:bookmarkStart w:id="23" w:name="Buk_28"/>
      <w:r w:rsidR="009C47A2" w:rsidRPr="009C47A2">
        <w:rPr>
          <w:lang w:val="lt-LT"/>
        </w:rPr>
        <w:t xml:space="preserve">L. L. </w:t>
      </w:r>
      <w:bookmarkEnd w:id="23"/>
      <w:r w:rsidR="009011E7" w:rsidRPr="008436E8">
        <w:rPr>
          <w:lang w:val="lt-LT"/>
        </w:rPr>
        <w:t xml:space="preserve">vairuotą savadarbę motorinę transporto priemonę priskyrė motoriniams dviračiams, </w:t>
      </w:r>
      <w:r w:rsidR="009011E7" w:rsidRPr="008436E8">
        <w:rPr>
          <w:iCs/>
          <w:lang w:val="lt-LT"/>
        </w:rPr>
        <w:t xml:space="preserve">naikinta apeliacinės instancijos teismo nutartis ir byla perduotina iš naujo nagrinėti apeliacinės instancijos </w:t>
      </w:r>
      <w:r w:rsidR="00652A79" w:rsidRPr="008436E8">
        <w:rPr>
          <w:iCs/>
          <w:lang w:val="lt-LT"/>
        </w:rPr>
        <w:t xml:space="preserve">teismui </w:t>
      </w:r>
      <w:r w:rsidR="009011E7" w:rsidRPr="008436E8">
        <w:rPr>
          <w:iCs/>
          <w:lang w:val="lt-LT"/>
        </w:rPr>
        <w:t>(</w:t>
      </w:r>
      <w:r w:rsidR="00DE552C" w:rsidRPr="008436E8">
        <w:rPr>
          <w:iCs/>
          <w:lang w:val="lt-LT"/>
        </w:rPr>
        <w:t xml:space="preserve">Lietuvos Respublikos baudžiamojo proceso kodekso (toliau – ir </w:t>
      </w:r>
      <w:r w:rsidR="009011E7" w:rsidRPr="008436E8">
        <w:rPr>
          <w:iCs/>
          <w:lang w:val="lt-LT"/>
        </w:rPr>
        <w:t>BPK</w:t>
      </w:r>
      <w:r w:rsidR="00DE552C" w:rsidRPr="008436E8">
        <w:rPr>
          <w:iCs/>
          <w:lang w:val="lt-LT"/>
        </w:rPr>
        <w:t>)</w:t>
      </w:r>
      <w:r w:rsidR="009011E7" w:rsidRPr="008436E8">
        <w:rPr>
          <w:iCs/>
          <w:lang w:val="lt-LT"/>
        </w:rPr>
        <w:t xml:space="preserve"> 382 straipsnio 5 punktas)</w:t>
      </w:r>
      <w:r w:rsidR="009011E7" w:rsidRPr="008436E8">
        <w:rPr>
          <w:lang w:val="lt-LT"/>
        </w:rPr>
        <w:t xml:space="preserve">. </w:t>
      </w:r>
    </w:p>
    <w:p w14:paraId="0811F1D1" w14:textId="633A6B9F" w:rsidR="00F61765" w:rsidRPr="008436E8" w:rsidRDefault="00D91E52" w:rsidP="008436E8">
      <w:pPr>
        <w:pStyle w:val="Sraopastraipa"/>
        <w:numPr>
          <w:ilvl w:val="0"/>
          <w:numId w:val="26"/>
        </w:numPr>
        <w:tabs>
          <w:tab w:val="left" w:pos="780"/>
        </w:tabs>
        <w:spacing w:after="120"/>
        <w:ind w:left="357" w:hanging="357"/>
        <w:contextualSpacing w:val="0"/>
        <w:jc w:val="both"/>
        <w:rPr>
          <w:lang w:val="lt-LT"/>
        </w:rPr>
      </w:pPr>
      <w:r w:rsidRPr="008436E8">
        <w:rPr>
          <w:bCs/>
          <w:lang w:val="lt-LT"/>
        </w:rPr>
        <w:t xml:space="preserve">Iš naujo </w:t>
      </w:r>
      <w:r w:rsidR="00652A79" w:rsidRPr="008436E8">
        <w:rPr>
          <w:bCs/>
          <w:lang w:val="lt-LT"/>
        </w:rPr>
        <w:t xml:space="preserve">nagrinėdamas </w:t>
      </w:r>
      <w:r w:rsidRPr="008436E8">
        <w:rPr>
          <w:bCs/>
          <w:lang w:val="lt-LT"/>
        </w:rPr>
        <w:t>bylą apeliacine tvarka</w:t>
      </w:r>
      <w:r w:rsidR="00652A79" w:rsidRPr="008436E8">
        <w:rPr>
          <w:bCs/>
          <w:lang w:val="lt-LT"/>
        </w:rPr>
        <w:t>,</w:t>
      </w:r>
      <w:r w:rsidRPr="008436E8">
        <w:rPr>
          <w:bCs/>
          <w:lang w:val="lt-LT"/>
        </w:rPr>
        <w:t xml:space="preserve"> teismas</w:t>
      </w:r>
      <w:r w:rsidR="00A612F9" w:rsidRPr="008436E8">
        <w:rPr>
          <w:bCs/>
          <w:lang w:val="lt-LT"/>
        </w:rPr>
        <w:t xml:space="preserve">, be kita ko, turi tinkamai nustatyti ir būtinas nustatyti veikos padarymo aplinkybes. BPK 427 straipsnyje nustatyta, kad prokuroro pareiškime dėl bylos nagrinėjimo pagreitinto proceso tvarka turi būti, be </w:t>
      </w:r>
      <w:r w:rsidR="004F0191" w:rsidRPr="008436E8">
        <w:rPr>
          <w:bCs/>
          <w:lang w:val="lt-LT"/>
        </w:rPr>
        <w:t>kitų privalomai nurodyt</w:t>
      </w:r>
      <w:r w:rsidR="00652A79" w:rsidRPr="008436E8">
        <w:rPr>
          <w:bCs/>
          <w:lang w:val="lt-LT"/>
        </w:rPr>
        <w:t>ų</w:t>
      </w:r>
      <w:r w:rsidR="004F0191" w:rsidRPr="008436E8">
        <w:rPr>
          <w:bCs/>
          <w:lang w:val="lt-LT"/>
        </w:rPr>
        <w:t xml:space="preserve"> duomen</w:t>
      </w:r>
      <w:r w:rsidR="00652A79" w:rsidRPr="008436E8">
        <w:rPr>
          <w:bCs/>
          <w:lang w:val="lt-LT"/>
        </w:rPr>
        <w:t>ų</w:t>
      </w:r>
      <w:r w:rsidR="004F0191" w:rsidRPr="008436E8">
        <w:rPr>
          <w:bCs/>
          <w:lang w:val="lt-LT"/>
        </w:rPr>
        <w:t xml:space="preserve">, </w:t>
      </w:r>
      <w:r w:rsidR="00A612F9" w:rsidRPr="008436E8">
        <w:rPr>
          <w:bCs/>
          <w:lang w:val="lt-LT"/>
        </w:rPr>
        <w:t>trumpai aprašyta padaryta nusikalstama veika: jos padarymo vieta, laikas, būdas ir padariniai; nurodytas baudžiamasis įstatymas, nu</w:t>
      </w:r>
      <w:r w:rsidR="00652A79" w:rsidRPr="008436E8">
        <w:rPr>
          <w:bCs/>
          <w:lang w:val="lt-LT"/>
        </w:rPr>
        <w:t>st</w:t>
      </w:r>
      <w:r w:rsidR="00A612F9" w:rsidRPr="008436E8">
        <w:rPr>
          <w:bCs/>
          <w:lang w:val="lt-LT"/>
        </w:rPr>
        <w:t xml:space="preserve">atantis atsakomybę už tą veiką. </w:t>
      </w:r>
      <w:r w:rsidR="004F0191" w:rsidRPr="008436E8">
        <w:rPr>
          <w:bCs/>
          <w:lang w:val="lt-LT"/>
        </w:rPr>
        <w:t xml:space="preserve">Taigi, pagal </w:t>
      </w:r>
      <w:r w:rsidR="00A612F9" w:rsidRPr="008436E8">
        <w:rPr>
          <w:bCs/>
          <w:iCs/>
          <w:lang w:val="lt-LT"/>
        </w:rPr>
        <w:t>teisinį reguliavimą nurodoma, kad iš nusikalstamos veikos aprašymo turi būti aiškios kaltininkui inkriminuojamos nusikalstamos veikos aplinkybės (</w:t>
      </w:r>
      <w:r w:rsidR="00A612F9" w:rsidRPr="008436E8">
        <w:rPr>
          <w:bCs/>
          <w:lang w:val="lt-LT"/>
        </w:rPr>
        <w:t>tiek, kiek jos nustatytos ikiteisminio tyrimo duomenimis)</w:t>
      </w:r>
      <w:r w:rsidR="00A612F9" w:rsidRPr="008436E8">
        <w:rPr>
          <w:bCs/>
          <w:iCs/>
          <w:lang w:val="lt-LT"/>
        </w:rPr>
        <w:t>, iš kurių sprendžiama apie jos sudėtį sudarančių požymių buvimą ar nebuvimą</w:t>
      </w:r>
      <w:r w:rsidR="004F0191" w:rsidRPr="008436E8">
        <w:rPr>
          <w:bCs/>
          <w:iCs/>
          <w:lang w:val="lt-LT"/>
        </w:rPr>
        <w:t>. Pažymėtina, kad nors</w:t>
      </w:r>
      <w:r w:rsidR="00A612F9" w:rsidRPr="008436E8">
        <w:rPr>
          <w:bCs/>
          <w:lang w:val="lt-LT"/>
        </w:rPr>
        <w:t xml:space="preserve"> </w:t>
      </w:r>
      <w:r w:rsidR="00A612F9" w:rsidRPr="008436E8">
        <w:rPr>
          <w:bCs/>
          <w:iCs/>
          <w:lang w:val="lt-LT"/>
        </w:rPr>
        <w:t xml:space="preserve">nusikalstama veika turi būti aprašyta išsamiai ir kartu glaustai, </w:t>
      </w:r>
      <w:r w:rsidR="004F0191" w:rsidRPr="008436E8">
        <w:rPr>
          <w:bCs/>
          <w:iCs/>
          <w:lang w:val="lt-LT"/>
        </w:rPr>
        <w:t>tačiau turi būti nurodytos tos</w:t>
      </w:r>
      <w:r w:rsidR="00A612F9" w:rsidRPr="008436E8">
        <w:rPr>
          <w:bCs/>
          <w:iCs/>
          <w:lang w:val="lt-LT"/>
        </w:rPr>
        <w:t xml:space="preserve"> faktin</w:t>
      </w:r>
      <w:r w:rsidR="004F0191" w:rsidRPr="008436E8">
        <w:rPr>
          <w:bCs/>
          <w:iCs/>
          <w:lang w:val="lt-LT"/>
        </w:rPr>
        <w:t>ė</w:t>
      </w:r>
      <w:r w:rsidR="00A612F9" w:rsidRPr="008436E8">
        <w:rPr>
          <w:bCs/>
          <w:iCs/>
          <w:lang w:val="lt-LT"/>
        </w:rPr>
        <w:t>s aplinkyb</w:t>
      </w:r>
      <w:r w:rsidR="004F0191" w:rsidRPr="008436E8">
        <w:rPr>
          <w:bCs/>
          <w:iCs/>
          <w:lang w:val="lt-LT"/>
        </w:rPr>
        <w:t>ė</w:t>
      </w:r>
      <w:r w:rsidR="00A612F9" w:rsidRPr="008436E8">
        <w:rPr>
          <w:bCs/>
          <w:iCs/>
          <w:lang w:val="lt-LT"/>
        </w:rPr>
        <w:t>s, kurios reikšmingos kvalifikavimui</w:t>
      </w:r>
      <w:r w:rsidR="004F0191" w:rsidRPr="008436E8">
        <w:rPr>
          <w:bCs/>
          <w:iCs/>
          <w:lang w:val="lt-LT"/>
        </w:rPr>
        <w:t>. N</w:t>
      </w:r>
      <w:r w:rsidR="00A612F9" w:rsidRPr="008436E8">
        <w:rPr>
          <w:bCs/>
          <w:iCs/>
          <w:lang w:val="lt-LT"/>
        </w:rPr>
        <w:t>usikalstamos veikos faktinių aplinkybių išdėstym</w:t>
      </w:r>
      <w:r w:rsidR="000B1C80" w:rsidRPr="008436E8">
        <w:rPr>
          <w:bCs/>
          <w:iCs/>
          <w:lang w:val="lt-LT"/>
        </w:rPr>
        <w:t>o tikslumą</w:t>
      </w:r>
      <w:r w:rsidR="00A612F9" w:rsidRPr="008436E8">
        <w:rPr>
          <w:bCs/>
          <w:iCs/>
          <w:lang w:val="lt-LT"/>
        </w:rPr>
        <w:t xml:space="preserve"> lemia </w:t>
      </w:r>
      <w:r w:rsidR="004F0191" w:rsidRPr="008436E8">
        <w:rPr>
          <w:bCs/>
          <w:iCs/>
          <w:lang w:val="lt-LT"/>
        </w:rPr>
        <w:t xml:space="preserve">tiek </w:t>
      </w:r>
      <w:r w:rsidR="00A612F9" w:rsidRPr="008436E8">
        <w:rPr>
          <w:bCs/>
          <w:iCs/>
          <w:lang w:val="lt-LT"/>
        </w:rPr>
        <w:t xml:space="preserve">BK specialiosios dalies straipsnio dispozicijoje nurodyti veikos požymiai, </w:t>
      </w:r>
      <w:r w:rsidR="004F0191" w:rsidRPr="008436E8">
        <w:rPr>
          <w:bCs/>
          <w:iCs/>
          <w:lang w:val="lt-LT"/>
        </w:rPr>
        <w:t>tiek ir pasirinkta proceso forma. Jei byl</w:t>
      </w:r>
      <w:r w:rsidR="000B1C80" w:rsidRPr="008436E8">
        <w:rPr>
          <w:bCs/>
          <w:iCs/>
          <w:lang w:val="lt-LT"/>
        </w:rPr>
        <w:t>a</w:t>
      </w:r>
      <w:r w:rsidR="004F0191" w:rsidRPr="008436E8">
        <w:rPr>
          <w:bCs/>
          <w:iCs/>
          <w:lang w:val="lt-LT"/>
        </w:rPr>
        <w:t xml:space="preserve"> yra perduota nagrinėti pagreitinto proceso forma, BPK 426 straipsnio 1 dalyje nurodyta, kad nusikalstamos veikos padarymo aplinkybės turi būti aiškio</w:t>
      </w:r>
      <w:r w:rsidR="000B1C80" w:rsidRPr="008436E8">
        <w:rPr>
          <w:bCs/>
          <w:iCs/>
          <w:lang w:val="lt-LT"/>
        </w:rPr>
        <w:t xml:space="preserve">s. Nusikalstamos veikos padarymo aplinkybės laikomos aiškiomis paprastai tais atvejais, kai veiką padaręs asmuo nustatomas tuoj pat, įrodinėjant teisiškai reikšmingus faktus nereikia taikyti sudėtingų įrodinėjimo priemonių, o bylos </w:t>
      </w:r>
      <w:r w:rsidR="00652A79" w:rsidRPr="008436E8">
        <w:rPr>
          <w:bCs/>
          <w:iCs/>
          <w:lang w:val="lt-LT"/>
        </w:rPr>
        <w:t xml:space="preserve">duomenims surinkti </w:t>
      </w:r>
      <w:r w:rsidR="000B1C80" w:rsidRPr="008436E8">
        <w:rPr>
          <w:bCs/>
          <w:iCs/>
          <w:lang w:val="lt-LT"/>
        </w:rPr>
        <w:t>pakanka trumpo (procese numatyto) laiko tarpo, pats veikos padarymo būdas, kitos svarbios veikos požymius atskleidžiančios aplinkybės nėra itin sudėtingos (</w:t>
      </w:r>
      <w:r w:rsidR="00652A79" w:rsidRPr="008436E8">
        <w:rPr>
          <w:bCs/>
          <w:iCs/>
          <w:lang w:val="lt-LT"/>
        </w:rPr>
        <w:t xml:space="preserve">Lietuvos Aukščiausiojo Teismo </w:t>
      </w:r>
      <w:r w:rsidR="008436E8" w:rsidRPr="008436E8">
        <w:rPr>
          <w:bCs/>
          <w:iCs/>
          <w:lang w:val="lt-LT"/>
        </w:rPr>
        <w:t xml:space="preserve">2013 m. lapkričio 26 d. </w:t>
      </w:r>
      <w:r w:rsidR="000B1C80" w:rsidRPr="008436E8">
        <w:rPr>
          <w:bCs/>
          <w:iCs/>
          <w:lang w:val="lt-LT"/>
        </w:rPr>
        <w:t xml:space="preserve">nutartis baudžiamojoje byloje Nr. </w:t>
      </w:r>
      <w:bookmarkStart w:id="24" w:name="nTP1_9000002"/>
      <w:r w:rsidR="000B1C80" w:rsidRPr="008436E8">
        <w:rPr>
          <w:bCs/>
          <w:iCs/>
          <w:lang w:val="lt-LT"/>
        </w:rPr>
        <w:fldChar w:fldCharType="begin"/>
      </w:r>
      <w:r w:rsidR="000B1C80" w:rsidRPr="008436E8">
        <w:rPr>
          <w:bCs/>
          <w:iCs/>
          <w:lang w:val="lt-LT"/>
        </w:rPr>
        <w:instrText>HYPERLINK "https://www.infolex.lt/tp/768756" \o "2K-452/2013 T. C. pagal BK 231 str. 2 d." \t "_blank"</w:instrText>
      </w:r>
      <w:r w:rsidR="000B1C80" w:rsidRPr="008436E8">
        <w:rPr>
          <w:bCs/>
          <w:iCs/>
          <w:lang w:val="lt-LT"/>
        </w:rPr>
      </w:r>
      <w:r w:rsidR="000B1C80" w:rsidRPr="008436E8">
        <w:rPr>
          <w:bCs/>
          <w:iCs/>
          <w:lang w:val="lt-LT"/>
        </w:rPr>
        <w:fldChar w:fldCharType="separate"/>
      </w:r>
      <w:r w:rsidR="000B1C80" w:rsidRPr="008436E8">
        <w:rPr>
          <w:rStyle w:val="Hipersaitas"/>
          <w:bCs/>
          <w:iCs/>
          <w:color w:val="auto"/>
          <w:u w:val="none"/>
          <w:lang w:val="lt-LT"/>
        </w:rPr>
        <w:t>2K-452/2013</w:t>
      </w:r>
      <w:r w:rsidR="000B1C80" w:rsidRPr="008436E8">
        <w:rPr>
          <w:bCs/>
          <w:iCs/>
          <w:lang w:val="lt-LT"/>
        </w:rPr>
        <w:fldChar w:fldCharType="end"/>
      </w:r>
      <w:bookmarkEnd w:id="24"/>
      <w:r w:rsidR="000B1C80" w:rsidRPr="008436E8">
        <w:rPr>
          <w:bCs/>
          <w:iCs/>
          <w:lang w:val="lt-LT"/>
        </w:rPr>
        <w:t xml:space="preserve">). Ir nors negalima teigti, kad nagrinėjamoje byloje pagreitinto proceso galimybe dėl nusikalstamos veikos padarymo aplinkybių aiškumo buvo pasinaudota neteisėtai, tačiau kai kurias aplinkybes nagrinėjamoje byloje būtina patikslinti. </w:t>
      </w:r>
      <w:r w:rsidR="00AF04EB" w:rsidRPr="008436E8">
        <w:rPr>
          <w:bCs/>
          <w:iCs/>
          <w:lang w:val="lt-LT"/>
        </w:rPr>
        <w:t>B</w:t>
      </w:r>
      <w:r w:rsidR="000B1C80" w:rsidRPr="008436E8">
        <w:rPr>
          <w:bCs/>
          <w:iCs/>
          <w:lang w:val="lt-LT"/>
        </w:rPr>
        <w:t>ūtent</w:t>
      </w:r>
      <w:r w:rsidR="00AF04EB" w:rsidRPr="008436E8">
        <w:rPr>
          <w:bCs/>
          <w:iCs/>
          <w:lang w:val="lt-LT"/>
        </w:rPr>
        <w:t xml:space="preserve"> –</w:t>
      </w:r>
      <w:r w:rsidR="000B1C80" w:rsidRPr="008436E8">
        <w:rPr>
          <w:bCs/>
          <w:iCs/>
          <w:lang w:val="lt-LT"/>
        </w:rPr>
        <w:t xml:space="preserve"> p</w:t>
      </w:r>
      <w:r w:rsidR="00A612F9" w:rsidRPr="008436E8">
        <w:rPr>
          <w:bCs/>
          <w:iCs/>
          <w:lang w:val="lt-LT"/>
        </w:rPr>
        <w:t xml:space="preserve">rokuroro pareiškime dėl bylos nagrinėjimo pagreitinto proceso tvarka nurodyta, kad </w:t>
      </w:r>
      <w:bookmarkStart w:id="25" w:name="Buk_43"/>
      <w:r w:rsidR="009C47A2" w:rsidRPr="009C47A2">
        <w:rPr>
          <w:bCs/>
          <w:iCs/>
          <w:lang w:val="lt-LT"/>
        </w:rPr>
        <w:t xml:space="preserve">L. L. </w:t>
      </w:r>
      <w:bookmarkEnd w:id="25"/>
      <w:r w:rsidR="00A612F9" w:rsidRPr="008436E8">
        <w:rPr>
          <w:bCs/>
          <w:iCs/>
          <w:lang w:val="lt-LT"/>
        </w:rPr>
        <w:t xml:space="preserve">„2025-07-17, apie 14.24 val., Utenoje, Aušros gatvėje, šalia pastato </w:t>
      </w:r>
      <w:r w:rsidR="00A612F9" w:rsidRPr="008436E8">
        <w:rPr>
          <w:bCs/>
          <w:iCs/>
          <w:lang w:val="lt-LT"/>
        </w:rPr>
        <w:lastRenderedPageBreak/>
        <w:t xml:space="preserve">Nr. 78, vairavo kelių transporto priemonę – motorinį dviratį su benzininiu vidaus degimo varikliu, &lt;...&gt;, kai &lt;...&gt; jam nustatytas 2,02 prom. neblaivumas“. Byloje nustatyta, kad policijos pareigūnai </w:t>
      </w:r>
      <w:bookmarkStart w:id="26" w:name="Buk_30"/>
      <w:r w:rsidR="009C47A2" w:rsidRPr="009C47A2">
        <w:rPr>
          <w:bCs/>
          <w:iCs/>
          <w:lang w:val="lt-LT"/>
        </w:rPr>
        <w:t xml:space="preserve">L. L. </w:t>
      </w:r>
      <w:bookmarkEnd w:id="26"/>
      <w:r w:rsidR="00A612F9" w:rsidRPr="008436E8">
        <w:rPr>
          <w:bCs/>
          <w:iCs/>
          <w:lang w:val="lt-LT"/>
        </w:rPr>
        <w:t>sustabdė 2025 m. liepos 17 d. apie 14.08 val., 14.24 val. jam nustatytas 2,35 promil</w:t>
      </w:r>
      <w:r w:rsidR="00AF04EB" w:rsidRPr="008436E8">
        <w:rPr>
          <w:bCs/>
          <w:iCs/>
          <w:lang w:val="lt-LT"/>
        </w:rPr>
        <w:t>ės</w:t>
      </w:r>
      <w:r w:rsidR="00A612F9" w:rsidRPr="008436E8">
        <w:rPr>
          <w:bCs/>
          <w:iCs/>
          <w:lang w:val="lt-LT"/>
        </w:rPr>
        <w:t xml:space="preserve"> neblaivumas, 14.50 val. – 2,02 promil</w:t>
      </w:r>
      <w:r w:rsidR="00AF04EB" w:rsidRPr="008436E8">
        <w:rPr>
          <w:bCs/>
          <w:iCs/>
          <w:lang w:val="lt-LT"/>
        </w:rPr>
        <w:t>ės</w:t>
      </w:r>
      <w:r w:rsidR="00A612F9" w:rsidRPr="008436E8">
        <w:rPr>
          <w:bCs/>
          <w:iCs/>
          <w:lang w:val="lt-LT"/>
        </w:rPr>
        <w:t xml:space="preserve"> neblaivumas (b. l. 23</w:t>
      </w:r>
      <w:r w:rsidR="00AF04EB" w:rsidRPr="008436E8">
        <w:rPr>
          <w:bCs/>
          <w:iCs/>
          <w:lang w:val="lt-LT"/>
        </w:rPr>
        <w:t>–</w:t>
      </w:r>
      <w:r w:rsidR="00A612F9" w:rsidRPr="008436E8">
        <w:rPr>
          <w:bCs/>
          <w:iCs/>
          <w:lang w:val="lt-LT"/>
        </w:rPr>
        <w:t>25). Vadinasi, 2025</w:t>
      </w:r>
      <w:r w:rsidR="00AF04EB" w:rsidRPr="008436E8">
        <w:rPr>
          <w:bCs/>
          <w:iCs/>
          <w:lang w:val="lt-LT"/>
        </w:rPr>
        <w:t> </w:t>
      </w:r>
      <w:r w:rsidR="00A612F9" w:rsidRPr="008436E8">
        <w:rPr>
          <w:bCs/>
          <w:iCs/>
          <w:lang w:val="lt-LT"/>
        </w:rPr>
        <w:t>m. liepos 17</w:t>
      </w:r>
      <w:r w:rsidR="008739C2">
        <w:rPr>
          <w:bCs/>
          <w:iCs/>
          <w:lang w:val="lt-LT"/>
        </w:rPr>
        <w:t> </w:t>
      </w:r>
      <w:r w:rsidR="00A612F9" w:rsidRPr="008436E8">
        <w:rPr>
          <w:bCs/>
          <w:iCs/>
          <w:lang w:val="lt-LT"/>
        </w:rPr>
        <w:t xml:space="preserve">d. apie 14.24 val. </w:t>
      </w:r>
      <w:bookmarkStart w:id="27" w:name="Buk_44"/>
      <w:r w:rsidR="009C47A2" w:rsidRPr="009C47A2">
        <w:rPr>
          <w:bCs/>
          <w:iCs/>
          <w:lang w:val="lt-LT"/>
        </w:rPr>
        <w:t xml:space="preserve">L. L. </w:t>
      </w:r>
      <w:bookmarkEnd w:id="27"/>
      <w:r w:rsidR="00A612F9" w:rsidRPr="008436E8">
        <w:rPr>
          <w:bCs/>
          <w:iCs/>
          <w:lang w:val="lt-LT"/>
        </w:rPr>
        <w:t xml:space="preserve">motorinės transporto priemonės nevairavo. Taigi prokuroro pareiškime dėl bylos nagrinėjimo pagreitinto proceso tvarka </w:t>
      </w:r>
      <w:r w:rsidR="000B1C80" w:rsidRPr="008436E8">
        <w:rPr>
          <w:bCs/>
          <w:iCs/>
          <w:lang w:val="lt-LT"/>
        </w:rPr>
        <w:t>netiksliai nurodyta</w:t>
      </w:r>
      <w:r w:rsidR="00A612F9" w:rsidRPr="008436E8">
        <w:rPr>
          <w:bCs/>
          <w:iCs/>
          <w:lang w:val="lt-LT"/>
        </w:rPr>
        <w:t xml:space="preserve">, kuriuo metu </w:t>
      </w:r>
      <w:bookmarkStart w:id="28" w:name="Buk_45"/>
      <w:r w:rsidR="009C47A2" w:rsidRPr="009C47A2">
        <w:rPr>
          <w:bCs/>
          <w:iCs/>
          <w:lang w:val="lt-LT"/>
        </w:rPr>
        <w:t xml:space="preserve">L. L. </w:t>
      </w:r>
      <w:bookmarkEnd w:id="28"/>
      <w:r w:rsidR="00A612F9" w:rsidRPr="008436E8">
        <w:rPr>
          <w:bCs/>
          <w:iCs/>
          <w:lang w:val="lt-LT"/>
        </w:rPr>
        <w:t xml:space="preserve">vairavo savadarbę motorinę transporto priemonę, t. y. </w:t>
      </w:r>
      <w:r w:rsidR="000B1C80" w:rsidRPr="008436E8">
        <w:rPr>
          <w:bCs/>
          <w:iCs/>
          <w:lang w:val="lt-LT"/>
        </w:rPr>
        <w:t>netiksliai nurodytas</w:t>
      </w:r>
      <w:r w:rsidR="00A612F9" w:rsidRPr="008436E8">
        <w:rPr>
          <w:bCs/>
          <w:iCs/>
          <w:lang w:val="lt-LT"/>
        </w:rPr>
        <w:t xml:space="preserve"> veikos padarymo laikas. Nusikalstamos veikos padarymo laikas yra veikimo (neveikimo) laikas arba baudžiamojo įstatymo </w:t>
      </w:r>
      <w:r w:rsidR="00AF04EB" w:rsidRPr="008436E8">
        <w:rPr>
          <w:bCs/>
          <w:iCs/>
          <w:lang w:val="lt-LT"/>
        </w:rPr>
        <w:t xml:space="preserve">nustatytų </w:t>
      </w:r>
      <w:r w:rsidR="00A612F9" w:rsidRPr="008436E8">
        <w:rPr>
          <w:bCs/>
          <w:iCs/>
          <w:lang w:val="lt-LT"/>
        </w:rPr>
        <w:t>padarinių atsiradimo laikas, jeigu asmuo norėjo, kad padariniai atsirastų kitu laiku (BK 3 straipsnio 1 dalis). BK 281</w:t>
      </w:r>
      <w:r w:rsidR="00A612F9" w:rsidRPr="008436E8">
        <w:rPr>
          <w:bCs/>
          <w:iCs/>
          <w:vertAlign w:val="superscript"/>
          <w:lang w:val="lt-LT"/>
        </w:rPr>
        <w:t>1</w:t>
      </w:r>
      <w:r w:rsidR="00A612F9" w:rsidRPr="008436E8">
        <w:rPr>
          <w:bCs/>
          <w:iCs/>
          <w:lang w:val="lt-LT"/>
        </w:rPr>
        <w:t xml:space="preserve"> straipsnio 1 dalyje </w:t>
      </w:r>
      <w:r w:rsidR="00AF04EB" w:rsidRPr="008436E8">
        <w:rPr>
          <w:bCs/>
          <w:iCs/>
          <w:lang w:val="lt-LT"/>
        </w:rPr>
        <w:t xml:space="preserve">nurodyto </w:t>
      </w:r>
      <w:r w:rsidR="00A612F9" w:rsidRPr="008436E8">
        <w:rPr>
          <w:bCs/>
          <w:iCs/>
          <w:lang w:val="lt-LT"/>
        </w:rPr>
        <w:t xml:space="preserve">nusikaltimo laikas yra motorinės transporto priemonės, traktoriaus ar savaeigės mašinos vairavimo laikas būnant neblaiviam, kai nustatytas 1,51 ir daugiau promilių neblaivumas. Nagrinėjamoje byloje šis laikas </w:t>
      </w:r>
      <w:r w:rsidR="000B1C80" w:rsidRPr="008436E8">
        <w:rPr>
          <w:bCs/>
          <w:iCs/>
          <w:lang w:val="lt-LT"/>
        </w:rPr>
        <w:t>turi būti patikslintas</w:t>
      </w:r>
      <w:r w:rsidR="00A612F9" w:rsidRPr="008436E8">
        <w:rPr>
          <w:bCs/>
          <w:iCs/>
          <w:lang w:val="lt-LT"/>
        </w:rPr>
        <w:t>.</w:t>
      </w:r>
    </w:p>
    <w:p w14:paraId="465F70F5" w14:textId="44EFB39E" w:rsidR="00DD7138" w:rsidRPr="008436E8" w:rsidRDefault="00A612F9" w:rsidP="00F61765">
      <w:pPr>
        <w:pStyle w:val="Sraopastraipa"/>
        <w:numPr>
          <w:ilvl w:val="0"/>
          <w:numId w:val="26"/>
        </w:numPr>
        <w:tabs>
          <w:tab w:val="left" w:pos="780"/>
        </w:tabs>
        <w:ind w:left="357" w:hanging="357"/>
        <w:contextualSpacing w:val="0"/>
        <w:jc w:val="both"/>
        <w:rPr>
          <w:lang w:val="lt-LT"/>
        </w:rPr>
      </w:pPr>
      <w:r w:rsidRPr="008436E8">
        <w:rPr>
          <w:bCs/>
          <w:lang w:val="lt-LT"/>
        </w:rPr>
        <w:t xml:space="preserve">Panaikinus apeliacinės instancijos teismo nutartį ir perdavus bylą iš naujo nagrinėti apeliacine tvarka, kasacinio skundo argumentai dėl </w:t>
      </w:r>
      <w:bookmarkStart w:id="29" w:name="Buk_29"/>
      <w:r w:rsidR="009C47A2" w:rsidRPr="009C47A2">
        <w:rPr>
          <w:bCs/>
          <w:lang w:val="lt-LT"/>
        </w:rPr>
        <w:t xml:space="preserve">L. L. </w:t>
      </w:r>
      <w:bookmarkEnd w:id="29"/>
      <w:r w:rsidRPr="008436E8">
        <w:rPr>
          <w:bCs/>
          <w:lang w:val="lt-LT"/>
        </w:rPr>
        <w:t>veikos pavojingumo nenagrinėjami, nes šis klausimas iš naujo turės būti sprendžiamas nagrinėjant bylą teisme.</w:t>
      </w:r>
    </w:p>
    <w:p w14:paraId="701F2D43" w14:textId="77777777" w:rsidR="00A612F9" w:rsidRPr="008436E8" w:rsidRDefault="00A612F9" w:rsidP="00E17705">
      <w:pPr>
        <w:ind w:firstLine="720"/>
        <w:jc w:val="both"/>
        <w:rPr>
          <w:lang w:val="lt-LT"/>
        </w:rPr>
      </w:pPr>
    </w:p>
    <w:p w14:paraId="502D7A68" w14:textId="194E6CDB" w:rsidR="00E17705" w:rsidRPr="008436E8" w:rsidRDefault="00E17705" w:rsidP="00E17705">
      <w:pPr>
        <w:ind w:firstLine="720"/>
        <w:jc w:val="both"/>
        <w:rPr>
          <w:lang w:val="lt-LT"/>
        </w:rPr>
      </w:pPr>
      <w:r w:rsidRPr="008436E8">
        <w:rPr>
          <w:lang w:val="lt-LT"/>
        </w:rPr>
        <w:t>Teisėjų kolegija, atsižvelgdama į išdėstytus argumentus ir vadovaudamasi Lietuvos Respublikos baudžiamojo proceso kodekso 382 straipsni</w:t>
      </w:r>
      <w:r w:rsidR="000B1C80" w:rsidRPr="008436E8">
        <w:rPr>
          <w:lang w:val="lt-LT"/>
        </w:rPr>
        <w:t xml:space="preserve">o </w:t>
      </w:r>
      <w:r w:rsidR="00725098" w:rsidRPr="008436E8">
        <w:rPr>
          <w:lang w:val="lt-LT"/>
        </w:rPr>
        <w:t xml:space="preserve">5 punktu, </w:t>
      </w:r>
    </w:p>
    <w:p w14:paraId="7BBDD6AC" w14:textId="77777777" w:rsidR="00E17705" w:rsidRPr="008436E8" w:rsidRDefault="00E17705" w:rsidP="00E17705">
      <w:pPr>
        <w:ind w:firstLine="720"/>
        <w:jc w:val="both"/>
        <w:rPr>
          <w:lang w:val="lt-LT"/>
        </w:rPr>
      </w:pPr>
    </w:p>
    <w:p w14:paraId="3CE17E18" w14:textId="77777777" w:rsidR="00E17705" w:rsidRPr="008436E8" w:rsidRDefault="00E17705" w:rsidP="00E17705">
      <w:pPr>
        <w:jc w:val="both"/>
        <w:rPr>
          <w:lang w:val="lt-LT"/>
        </w:rPr>
      </w:pPr>
      <w:r w:rsidRPr="008436E8">
        <w:rPr>
          <w:lang w:val="lt-LT"/>
        </w:rPr>
        <w:t>n u t a r i a :</w:t>
      </w:r>
    </w:p>
    <w:p w14:paraId="31AF3111" w14:textId="77777777" w:rsidR="00E17705" w:rsidRPr="008436E8" w:rsidRDefault="00E17705" w:rsidP="00E17705">
      <w:pPr>
        <w:jc w:val="both"/>
        <w:rPr>
          <w:lang w:val="lt-LT"/>
        </w:rPr>
      </w:pPr>
    </w:p>
    <w:p w14:paraId="6CF3016B" w14:textId="2C07FFEA" w:rsidR="0002388D" w:rsidRPr="008436E8" w:rsidRDefault="00E17705" w:rsidP="00E17705">
      <w:pPr>
        <w:pStyle w:val="Pagrindinistekstas"/>
        <w:ind w:firstLine="709"/>
      </w:pPr>
      <w:r w:rsidRPr="008436E8">
        <w:t xml:space="preserve">Panaikinti </w:t>
      </w:r>
      <w:r w:rsidR="00691CFF" w:rsidRPr="008436E8">
        <w:t xml:space="preserve">Panevėžio apygardos teismo Baudžiamųjų bylų skyriaus teisėjų kolegijos 2026 m. kovo 5 d. </w:t>
      </w:r>
      <w:r w:rsidRPr="008436E8">
        <w:t xml:space="preserve">nutartį ir perduoti bylą </w:t>
      </w:r>
      <w:r w:rsidR="00A612F9" w:rsidRPr="008436E8">
        <w:t>iš naujo nagrinėti apeliacine tvarka</w:t>
      </w:r>
      <w:r w:rsidRPr="008436E8">
        <w:t>.</w:t>
      </w:r>
    </w:p>
    <w:p w14:paraId="761031EC" w14:textId="77777777" w:rsidR="0002388D" w:rsidRPr="008436E8" w:rsidRDefault="0002388D" w:rsidP="00E4003F">
      <w:pPr>
        <w:pStyle w:val="Pagrindinistekstas"/>
      </w:pPr>
    </w:p>
    <w:p w14:paraId="5D0FC68E" w14:textId="77777777" w:rsidR="0002388D" w:rsidRPr="008436E8" w:rsidRDefault="0002388D" w:rsidP="00E4003F">
      <w:pPr>
        <w:pStyle w:val="Pagrindinistekstas"/>
      </w:pPr>
    </w:p>
    <w:p w14:paraId="5991D3C2" w14:textId="77777777" w:rsidR="00E0638F" w:rsidRPr="008436E8" w:rsidRDefault="00554B6E" w:rsidP="00554B6E">
      <w:pPr>
        <w:jc w:val="both"/>
        <w:rPr>
          <w:lang w:val="lt-LT"/>
        </w:rPr>
      </w:pPr>
      <w:r w:rsidRPr="008436E8">
        <w:rPr>
          <w:lang w:val="lt-LT"/>
        </w:rPr>
        <w:t>Teisėjai</w:t>
      </w:r>
      <w:r w:rsidRPr="008436E8">
        <w:rPr>
          <w:lang w:val="lt-LT"/>
        </w:rPr>
        <w:tab/>
      </w:r>
      <w:r w:rsidRPr="008436E8">
        <w:rPr>
          <w:lang w:val="lt-LT"/>
        </w:rPr>
        <w:tab/>
      </w:r>
      <w:r w:rsidRPr="008436E8">
        <w:rPr>
          <w:lang w:val="lt-LT"/>
        </w:rPr>
        <w:tab/>
      </w:r>
      <w:r w:rsidRPr="008436E8">
        <w:rPr>
          <w:lang w:val="lt-LT"/>
        </w:rPr>
        <w:tab/>
      </w:r>
      <w:r w:rsidRPr="008436E8">
        <w:rPr>
          <w:lang w:val="lt-LT"/>
        </w:rPr>
        <w:tab/>
      </w:r>
      <w:r w:rsidRPr="008436E8">
        <w:rPr>
          <w:lang w:val="lt-LT"/>
        </w:rPr>
        <w:tab/>
      </w:r>
      <w:r w:rsidRPr="008436E8">
        <w:rPr>
          <w:lang w:val="lt-LT"/>
        </w:rPr>
        <w:tab/>
      </w:r>
      <w:r w:rsidRPr="008436E8">
        <w:rPr>
          <w:lang w:val="lt-LT"/>
        </w:rPr>
        <w:tab/>
      </w:r>
      <w:r w:rsidR="00E0638F" w:rsidRPr="008436E8">
        <w:rPr>
          <w:lang w:val="lt-LT"/>
        </w:rPr>
        <w:t xml:space="preserve">Olegas Fedosiukas </w:t>
      </w:r>
    </w:p>
    <w:p w14:paraId="1EA3B971" w14:textId="77777777" w:rsidR="00E0638F" w:rsidRPr="008436E8" w:rsidRDefault="00E0638F" w:rsidP="00554B6E">
      <w:pPr>
        <w:jc w:val="both"/>
        <w:rPr>
          <w:lang w:val="lt-LT"/>
        </w:rPr>
      </w:pPr>
    </w:p>
    <w:p w14:paraId="51375A86" w14:textId="77777777" w:rsidR="00E0638F" w:rsidRPr="008436E8" w:rsidRDefault="00E0638F" w:rsidP="00554B6E">
      <w:pPr>
        <w:jc w:val="both"/>
        <w:rPr>
          <w:lang w:val="lt-LT"/>
        </w:rPr>
      </w:pPr>
    </w:p>
    <w:p w14:paraId="01FF1CCD" w14:textId="0A0DDF2C" w:rsidR="00554B6E" w:rsidRPr="008436E8" w:rsidRDefault="00591FB4" w:rsidP="00E0638F">
      <w:pPr>
        <w:ind w:left="5760" w:firstLine="720"/>
        <w:jc w:val="both"/>
        <w:rPr>
          <w:lang w:val="lt-LT"/>
        </w:rPr>
      </w:pPr>
      <w:r w:rsidRPr="008436E8">
        <w:rPr>
          <w:lang w:val="lt-LT"/>
        </w:rPr>
        <w:t>Eligijus Gladutis</w:t>
      </w:r>
    </w:p>
    <w:p w14:paraId="388FF9ED" w14:textId="77777777" w:rsidR="00554B6E" w:rsidRPr="008436E8" w:rsidRDefault="00554B6E" w:rsidP="00554B6E">
      <w:pPr>
        <w:jc w:val="both"/>
        <w:rPr>
          <w:lang w:val="lt-LT"/>
        </w:rPr>
      </w:pPr>
    </w:p>
    <w:p w14:paraId="66D0C407" w14:textId="77777777" w:rsidR="00554B6E" w:rsidRPr="008436E8" w:rsidRDefault="00554B6E" w:rsidP="00554B6E">
      <w:pPr>
        <w:jc w:val="both"/>
        <w:rPr>
          <w:lang w:val="lt-LT"/>
        </w:rPr>
      </w:pPr>
    </w:p>
    <w:p w14:paraId="6AFA321B" w14:textId="5E526615" w:rsidR="006E7FAA" w:rsidRPr="008436E8" w:rsidRDefault="00554B6E" w:rsidP="00554B6E">
      <w:pPr>
        <w:jc w:val="both"/>
        <w:rPr>
          <w:lang w:val="lt-LT"/>
        </w:rPr>
      </w:pPr>
      <w:r w:rsidRPr="008436E8">
        <w:rPr>
          <w:lang w:val="lt-LT"/>
        </w:rPr>
        <w:tab/>
      </w:r>
      <w:r w:rsidRPr="008436E8">
        <w:rPr>
          <w:lang w:val="lt-LT"/>
        </w:rPr>
        <w:tab/>
      </w:r>
      <w:r w:rsidRPr="008436E8">
        <w:rPr>
          <w:lang w:val="lt-LT"/>
        </w:rPr>
        <w:tab/>
      </w:r>
      <w:r w:rsidRPr="008436E8">
        <w:rPr>
          <w:lang w:val="lt-LT"/>
        </w:rPr>
        <w:tab/>
      </w:r>
      <w:r w:rsidRPr="008436E8">
        <w:rPr>
          <w:lang w:val="lt-LT"/>
        </w:rPr>
        <w:tab/>
      </w:r>
      <w:r w:rsidRPr="008436E8">
        <w:rPr>
          <w:lang w:val="lt-LT"/>
        </w:rPr>
        <w:tab/>
      </w:r>
      <w:r w:rsidRPr="008436E8">
        <w:rPr>
          <w:lang w:val="lt-LT"/>
        </w:rPr>
        <w:tab/>
      </w:r>
      <w:r w:rsidRPr="008436E8">
        <w:rPr>
          <w:lang w:val="lt-LT"/>
        </w:rPr>
        <w:tab/>
      </w:r>
      <w:r w:rsidRPr="008436E8">
        <w:rPr>
          <w:lang w:val="lt-LT"/>
        </w:rPr>
        <w:tab/>
        <w:t>Gabrielė Juodkaitė-Granskienė</w:t>
      </w:r>
    </w:p>
    <w:sectPr w:rsidR="006E7FAA" w:rsidRPr="008436E8" w:rsidSect="006E7FAA">
      <w:headerReference w:type="even" r:id="rId10"/>
      <w:headerReference w:type="default" r:id="rId11"/>
      <w:pgSz w:w="11906" w:h="16838"/>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19F6" w14:textId="77777777" w:rsidR="0099640A" w:rsidRDefault="0099640A">
      <w:r>
        <w:separator/>
      </w:r>
    </w:p>
  </w:endnote>
  <w:endnote w:type="continuationSeparator" w:id="0">
    <w:p w14:paraId="568ADDD5" w14:textId="77777777" w:rsidR="0099640A" w:rsidRDefault="0099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C143" w14:textId="77777777" w:rsidR="0099640A" w:rsidRDefault="0099640A">
      <w:r>
        <w:separator/>
      </w:r>
    </w:p>
  </w:footnote>
  <w:footnote w:type="continuationSeparator" w:id="0">
    <w:p w14:paraId="0A2A8C9B" w14:textId="77777777" w:rsidR="0099640A" w:rsidRDefault="00996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D62" w14:textId="77777777" w:rsidR="006E7FAA" w:rsidRDefault="006E7FAA">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49A7B35" w14:textId="77777777" w:rsidR="006E7FAA" w:rsidRDefault="006E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39CE" w14:textId="77777777" w:rsidR="006E7FAA" w:rsidRDefault="006E7FAA">
    <w:pPr>
      <w:pStyle w:val="Antrats"/>
      <w:framePr w:wrap="around" w:vAnchor="text" w:hAnchor="margin" w:xAlign="center" w:y="1"/>
      <w:jc w:val="center"/>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479D6788" w14:textId="77777777" w:rsidR="006E7FAA" w:rsidRDefault="006E7FA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945"/>
    <w:multiLevelType w:val="hybridMultilevel"/>
    <w:tmpl w:val="37F898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D249BD"/>
    <w:multiLevelType w:val="multilevel"/>
    <w:tmpl w:val="6DCCBF20"/>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D8088A"/>
    <w:multiLevelType w:val="multilevel"/>
    <w:tmpl w:val="AA7261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D9D1DFB"/>
    <w:multiLevelType w:val="hybridMultilevel"/>
    <w:tmpl w:val="B0C88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DB2B74"/>
    <w:multiLevelType w:val="hybridMultilevel"/>
    <w:tmpl w:val="8E5277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335011"/>
    <w:multiLevelType w:val="multilevel"/>
    <w:tmpl w:val="C4C0A796"/>
    <w:lvl w:ilvl="0">
      <w:start w:val="7"/>
      <w:numFmt w:val="decimal"/>
      <w:lvlText w:val="%1"/>
      <w:lvlJc w:val="left"/>
      <w:pPr>
        <w:ind w:left="420" w:hanging="420"/>
      </w:pPr>
      <w:rPr>
        <w:rFonts w:hint="default"/>
        <w:color w:val="000000"/>
      </w:rPr>
    </w:lvl>
    <w:lvl w:ilvl="1">
      <w:start w:val="10"/>
      <w:numFmt w:val="decimal"/>
      <w:lvlText w:val="%1.%2"/>
      <w:lvlJc w:val="left"/>
      <w:pPr>
        <w:ind w:left="846" w:hanging="4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34B0778E"/>
    <w:multiLevelType w:val="multilevel"/>
    <w:tmpl w:val="4EFEF1BA"/>
    <w:lvl w:ilvl="0">
      <w:start w:val="1"/>
      <w:numFmt w:val="decimal"/>
      <w:lvlText w:val="%1."/>
      <w:lvlJc w:val="left"/>
      <w:pPr>
        <w:ind w:left="720" w:hanging="360"/>
      </w:pPr>
      <w:rPr>
        <w:rFonts w:ascii="Times New Roman" w:hAnsi="Times New Roman" w:cs="Times New Roman" w:hint="default"/>
        <w:b w:val="0"/>
        <w:bCs w:val="0"/>
        <w:i w:val="0"/>
        <w:color w:val="auto"/>
      </w:rPr>
    </w:lvl>
    <w:lvl w:ilvl="1">
      <w:start w:val="1"/>
      <w:numFmt w:val="decimal"/>
      <w:isLgl/>
      <w:lvlText w:val="%1.%2."/>
      <w:lvlJc w:val="left"/>
      <w:pPr>
        <w:ind w:left="1211"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D17250"/>
    <w:multiLevelType w:val="multilevel"/>
    <w:tmpl w:val="6046BCE6"/>
    <w:numStyleLink w:val="ImportedStyle1"/>
  </w:abstractNum>
  <w:abstractNum w:abstractNumId="8" w15:restartNumberingAfterBreak="0">
    <w:nsid w:val="3DF93F10"/>
    <w:multiLevelType w:val="hybridMultilevel"/>
    <w:tmpl w:val="0C349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BC63EA"/>
    <w:multiLevelType w:val="hybridMultilevel"/>
    <w:tmpl w:val="9ED82D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4680276"/>
    <w:multiLevelType w:val="hybridMultilevel"/>
    <w:tmpl w:val="195C383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C96969"/>
    <w:multiLevelType w:val="hybridMultilevel"/>
    <w:tmpl w:val="3C2E0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E331D1"/>
    <w:multiLevelType w:val="hybridMultilevel"/>
    <w:tmpl w:val="C546AC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812477"/>
    <w:multiLevelType w:val="multilevel"/>
    <w:tmpl w:val="397CA44E"/>
    <w:lvl w:ilvl="0">
      <w:start w:val="7"/>
      <w:numFmt w:val="decimal"/>
      <w:lvlText w:val="%1"/>
      <w:lvlJc w:val="left"/>
      <w:pPr>
        <w:ind w:left="420" w:hanging="420"/>
      </w:pPr>
      <w:rPr>
        <w:rFonts w:hint="default"/>
        <w:color w:val="000000"/>
      </w:rPr>
    </w:lvl>
    <w:lvl w:ilvl="1">
      <w:start w:val="13"/>
      <w:numFmt w:val="decimal"/>
      <w:lvlText w:val="%1.%2"/>
      <w:lvlJc w:val="left"/>
      <w:pPr>
        <w:ind w:left="780" w:hanging="4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4" w15:restartNumberingAfterBreak="0">
    <w:nsid w:val="49B30C9F"/>
    <w:multiLevelType w:val="hybridMultilevel"/>
    <w:tmpl w:val="8FB8FD0C"/>
    <w:lvl w:ilvl="0" w:tplc="5964B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B28B8"/>
    <w:multiLevelType w:val="multilevel"/>
    <w:tmpl w:val="0427001F"/>
    <w:styleLink w:val="Esamassraa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26285F"/>
    <w:multiLevelType w:val="hybridMultilevel"/>
    <w:tmpl w:val="04989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066729"/>
    <w:multiLevelType w:val="multilevel"/>
    <w:tmpl w:val="6046BCE6"/>
    <w:lvl w:ilvl="0">
      <w:start w:val="1"/>
      <w:numFmt w:val="decimal"/>
      <w:lvlText w:val="%1."/>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17" w:hanging="71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077" w:hanging="107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437" w:hanging="143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797" w:hanging="179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57EC43D3"/>
    <w:multiLevelType w:val="multilevel"/>
    <w:tmpl w:val="64FC9E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60034C"/>
    <w:multiLevelType w:val="multilevel"/>
    <w:tmpl w:val="6046BCE6"/>
    <w:styleLink w:val="ImportedStyle1"/>
    <w:lvl w:ilvl="0">
      <w:start w:val="1"/>
      <w:numFmt w:val="decimal"/>
      <w:lvlText w:val="%1."/>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17" w:hanging="71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077" w:hanging="107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437" w:hanging="143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797" w:hanging="179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659722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AE0D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36001A"/>
    <w:multiLevelType w:val="hybridMultilevel"/>
    <w:tmpl w:val="DD12BEEA"/>
    <w:lvl w:ilvl="0" w:tplc="A76A1652">
      <w:start w:val="1"/>
      <w:numFmt w:val="decimal"/>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74301ED8"/>
    <w:multiLevelType w:val="multilevel"/>
    <w:tmpl w:val="E1703E6C"/>
    <w:lvl w:ilvl="0">
      <w:start w:val="7"/>
      <w:numFmt w:val="decimal"/>
      <w:lvlText w:val="%1"/>
      <w:lvlJc w:val="left"/>
      <w:pPr>
        <w:ind w:left="420" w:hanging="420"/>
      </w:pPr>
      <w:rPr>
        <w:rFonts w:hint="default"/>
        <w:color w:val="000000"/>
      </w:rPr>
    </w:lvl>
    <w:lvl w:ilvl="1">
      <w:start w:val="10"/>
      <w:numFmt w:val="decimal"/>
      <w:lvlText w:val="%1.%2"/>
      <w:lvlJc w:val="left"/>
      <w:pPr>
        <w:ind w:left="561" w:hanging="420"/>
      </w:pPr>
      <w:rPr>
        <w:rFonts w:hint="default"/>
        <w:color w:val="000000"/>
      </w:rPr>
    </w:lvl>
    <w:lvl w:ilvl="2">
      <w:start w:val="1"/>
      <w:numFmt w:val="decimal"/>
      <w:lvlText w:val="%1.%2.%3"/>
      <w:lvlJc w:val="left"/>
      <w:pPr>
        <w:ind w:left="1434" w:hanging="720"/>
      </w:pPr>
      <w:rPr>
        <w:rFonts w:hint="default"/>
        <w:color w:val="000000"/>
      </w:rPr>
    </w:lvl>
    <w:lvl w:ilvl="3">
      <w:start w:val="1"/>
      <w:numFmt w:val="decimal"/>
      <w:lvlText w:val="%1.%2.%3.%4"/>
      <w:lvlJc w:val="left"/>
      <w:pPr>
        <w:ind w:left="1791" w:hanging="720"/>
      </w:pPr>
      <w:rPr>
        <w:rFonts w:hint="default"/>
        <w:color w:val="000000"/>
      </w:rPr>
    </w:lvl>
    <w:lvl w:ilvl="4">
      <w:start w:val="1"/>
      <w:numFmt w:val="decimal"/>
      <w:lvlText w:val="%1.%2.%3.%4.%5"/>
      <w:lvlJc w:val="left"/>
      <w:pPr>
        <w:ind w:left="2508" w:hanging="1080"/>
      </w:pPr>
      <w:rPr>
        <w:rFonts w:hint="default"/>
        <w:color w:val="000000"/>
      </w:rPr>
    </w:lvl>
    <w:lvl w:ilvl="5">
      <w:start w:val="1"/>
      <w:numFmt w:val="decimal"/>
      <w:lvlText w:val="%1.%2.%3.%4.%5.%6"/>
      <w:lvlJc w:val="left"/>
      <w:pPr>
        <w:ind w:left="2865" w:hanging="1080"/>
      </w:pPr>
      <w:rPr>
        <w:rFonts w:hint="default"/>
        <w:color w:val="000000"/>
      </w:rPr>
    </w:lvl>
    <w:lvl w:ilvl="6">
      <w:start w:val="1"/>
      <w:numFmt w:val="decimal"/>
      <w:lvlText w:val="%1.%2.%3.%4.%5.%6.%7"/>
      <w:lvlJc w:val="left"/>
      <w:pPr>
        <w:ind w:left="3582" w:hanging="1440"/>
      </w:pPr>
      <w:rPr>
        <w:rFonts w:hint="default"/>
        <w:color w:val="000000"/>
      </w:rPr>
    </w:lvl>
    <w:lvl w:ilvl="7">
      <w:start w:val="1"/>
      <w:numFmt w:val="decimal"/>
      <w:lvlText w:val="%1.%2.%3.%4.%5.%6.%7.%8"/>
      <w:lvlJc w:val="left"/>
      <w:pPr>
        <w:ind w:left="3939" w:hanging="1440"/>
      </w:pPr>
      <w:rPr>
        <w:rFonts w:hint="default"/>
        <w:color w:val="000000"/>
      </w:rPr>
    </w:lvl>
    <w:lvl w:ilvl="8">
      <w:start w:val="1"/>
      <w:numFmt w:val="decimal"/>
      <w:lvlText w:val="%1.%2.%3.%4.%5.%6.%7.%8.%9"/>
      <w:lvlJc w:val="left"/>
      <w:pPr>
        <w:ind w:left="4656" w:hanging="1800"/>
      </w:pPr>
      <w:rPr>
        <w:rFonts w:hint="default"/>
        <w:color w:val="000000"/>
      </w:rPr>
    </w:lvl>
  </w:abstractNum>
  <w:abstractNum w:abstractNumId="24" w15:restartNumberingAfterBreak="0">
    <w:nsid w:val="74F47E11"/>
    <w:multiLevelType w:val="hybridMultilevel"/>
    <w:tmpl w:val="6F12A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C31285F"/>
    <w:multiLevelType w:val="multilevel"/>
    <w:tmpl w:val="6046BCE6"/>
    <w:lvl w:ilvl="0">
      <w:start w:val="1"/>
      <w:numFmt w:val="decimal"/>
      <w:lvlText w:val="%1."/>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17" w:hanging="71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077" w:hanging="107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437" w:hanging="143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797" w:hanging="179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614898347">
    <w:abstractNumId w:val="17"/>
  </w:num>
  <w:num w:numId="2" w16cid:durableId="1007906353">
    <w:abstractNumId w:val="14"/>
  </w:num>
  <w:num w:numId="3" w16cid:durableId="1751911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841497">
    <w:abstractNumId w:val="2"/>
  </w:num>
  <w:num w:numId="5" w16cid:durableId="384455983">
    <w:abstractNumId w:val="23"/>
  </w:num>
  <w:num w:numId="6" w16cid:durableId="1504399482">
    <w:abstractNumId w:val="13"/>
  </w:num>
  <w:num w:numId="7" w16cid:durableId="1701472342">
    <w:abstractNumId w:val="5"/>
  </w:num>
  <w:num w:numId="8" w16cid:durableId="1342658554">
    <w:abstractNumId w:val="15"/>
  </w:num>
  <w:num w:numId="9" w16cid:durableId="1591889687">
    <w:abstractNumId w:val="24"/>
  </w:num>
  <w:num w:numId="10" w16cid:durableId="2130708778">
    <w:abstractNumId w:val="8"/>
  </w:num>
  <w:num w:numId="11" w16cid:durableId="1429231183">
    <w:abstractNumId w:val="16"/>
  </w:num>
  <w:num w:numId="12" w16cid:durableId="751706994">
    <w:abstractNumId w:val="6"/>
  </w:num>
  <w:num w:numId="13" w16cid:durableId="943151449">
    <w:abstractNumId w:val="19"/>
  </w:num>
  <w:num w:numId="14" w16cid:durableId="578831948">
    <w:abstractNumId w:val="7"/>
  </w:num>
  <w:num w:numId="15" w16cid:durableId="1269315145">
    <w:abstractNumId w:val="11"/>
  </w:num>
  <w:num w:numId="16" w16cid:durableId="1771779205">
    <w:abstractNumId w:val="22"/>
  </w:num>
  <w:num w:numId="17" w16cid:durableId="157620543">
    <w:abstractNumId w:val="12"/>
  </w:num>
  <w:num w:numId="18" w16cid:durableId="505445392">
    <w:abstractNumId w:val="18"/>
  </w:num>
  <w:num w:numId="19" w16cid:durableId="1665663218">
    <w:abstractNumId w:val="0"/>
  </w:num>
  <w:num w:numId="20" w16cid:durableId="2055345964">
    <w:abstractNumId w:val="21"/>
  </w:num>
  <w:num w:numId="21" w16cid:durableId="1777480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8056619">
    <w:abstractNumId w:val="3"/>
  </w:num>
  <w:num w:numId="23" w16cid:durableId="330645304">
    <w:abstractNumId w:val="10"/>
  </w:num>
  <w:num w:numId="24" w16cid:durableId="733550254">
    <w:abstractNumId w:val="9"/>
  </w:num>
  <w:num w:numId="25" w16cid:durableId="1394767383">
    <w:abstractNumId w:val="4"/>
  </w:num>
  <w:num w:numId="26" w16cid:durableId="333532404">
    <w:abstractNumId w:val="1"/>
  </w:num>
  <w:num w:numId="27" w16cid:durableId="9083457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AA"/>
    <w:rsid w:val="00002E66"/>
    <w:rsid w:val="00006F9A"/>
    <w:rsid w:val="00011DD3"/>
    <w:rsid w:val="0001349B"/>
    <w:rsid w:val="000151D7"/>
    <w:rsid w:val="000227D9"/>
    <w:rsid w:val="0002388D"/>
    <w:rsid w:val="00023F19"/>
    <w:rsid w:val="00031DCE"/>
    <w:rsid w:val="00032873"/>
    <w:rsid w:val="0003591F"/>
    <w:rsid w:val="00037107"/>
    <w:rsid w:val="0004242F"/>
    <w:rsid w:val="00042637"/>
    <w:rsid w:val="00045F3F"/>
    <w:rsid w:val="00047A7E"/>
    <w:rsid w:val="00050681"/>
    <w:rsid w:val="000514E7"/>
    <w:rsid w:val="00052329"/>
    <w:rsid w:val="0005629A"/>
    <w:rsid w:val="000562EF"/>
    <w:rsid w:val="00056F99"/>
    <w:rsid w:val="00063CDA"/>
    <w:rsid w:val="00065248"/>
    <w:rsid w:val="000668AF"/>
    <w:rsid w:val="00073613"/>
    <w:rsid w:val="000744D1"/>
    <w:rsid w:val="00074AF0"/>
    <w:rsid w:val="000761C3"/>
    <w:rsid w:val="00076B1D"/>
    <w:rsid w:val="000772CB"/>
    <w:rsid w:val="00077FAA"/>
    <w:rsid w:val="00085B29"/>
    <w:rsid w:val="0009288E"/>
    <w:rsid w:val="00097C5F"/>
    <w:rsid w:val="000A0516"/>
    <w:rsid w:val="000B16A1"/>
    <w:rsid w:val="000B1778"/>
    <w:rsid w:val="000B1C80"/>
    <w:rsid w:val="000B7B81"/>
    <w:rsid w:val="000C2B6C"/>
    <w:rsid w:val="000C3284"/>
    <w:rsid w:val="000C67F4"/>
    <w:rsid w:val="000C7CAD"/>
    <w:rsid w:val="000D1C81"/>
    <w:rsid w:val="000D789C"/>
    <w:rsid w:val="000D7BC4"/>
    <w:rsid w:val="000D7FC6"/>
    <w:rsid w:val="000E1780"/>
    <w:rsid w:val="000E1B2A"/>
    <w:rsid w:val="000E542F"/>
    <w:rsid w:val="000E726D"/>
    <w:rsid w:val="000E73A9"/>
    <w:rsid w:val="000F13C4"/>
    <w:rsid w:val="000F1503"/>
    <w:rsid w:val="000F73B5"/>
    <w:rsid w:val="00101418"/>
    <w:rsid w:val="00106F53"/>
    <w:rsid w:val="001075ED"/>
    <w:rsid w:val="001076AC"/>
    <w:rsid w:val="001104EE"/>
    <w:rsid w:val="00113BEF"/>
    <w:rsid w:val="00116891"/>
    <w:rsid w:val="001200BD"/>
    <w:rsid w:val="001222D3"/>
    <w:rsid w:val="00122CF5"/>
    <w:rsid w:val="00124951"/>
    <w:rsid w:val="00124B3E"/>
    <w:rsid w:val="0013252C"/>
    <w:rsid w:val="00133799"/>
    <w:rsid w:val="00145201"/>
    <w:rsid w:val="001505CE"/>
    <w:rsid w:val="00153FFC"/>
    <w:rsid w:val="001542A8"/>
    <w:rsid w:val="00154A59"/>
    <w:rsid w:val="00157AB6"/>
    <w:rsid w:val="00160462"/>
    <w:rsid w:val="0016090B"/>
    <w:rsid w:val="00163141"/>
    <w:rsid w:val="00163E84"/>
    <w:rsid w:val="00171CF1"/>
    <w:rsid w:val="001779EF"/>
    <w:rsid w:val="001832A7"/>
    <w:rsid w:val="00183873"/>
    <w:rsid w:val="00185459"/>
    <w:rsid w:val="00194851"/>
    <w:rsid w:val="00196E0B"/>
    <w:rsid w:val="001974E6"/>
    <w:rsid w:val="001A3231"/>
    <w:rsid w:val="001A5D56"/>
    <w:rsid w:val="001A6C5A"/>
    <w:rsid w:val="001B0A58"/>
    <w:rsid w:val="001B1A63"/>
    <w:rsid w:val="001B3C2F"/>
    <w:rsid w:val="001B56CE"/>
    <w:rsid w:val="001B76C4"/>
    <w:rsid w:val="001C2561"/>
    <w:rsid w:val="001C6BDE"/>
    <w:rsid w:val="001D00B8"/>
    <w:rsid w:val="001D04C5"/>
    <w:rsid w:val="001D1F78"/>
    <w:rsid w:val="001E1630"/>
    <w:rsid w:val="001E1F8D"/>
    <w:rsid w:val="001E6FC2"/>
    <w:rsid w:val="001F608F"/>
    <w:rsid w:val="001F7100"/>
    <w:rsid w:val="00200B57"/>
    <w:rsid w:val="002021C8"/>
    <w:rsid w:val="0020432D"/>
    <w:rsid w:val="0020687A"/>
    <w:rsid w:val="002075ED"/>
    <w:rsid w:val="002076DC"/>
    <w:rsid w:val="00212AC6"/>
    <w:rsid w:val="00213500"/>
    <w:rsid w:val="00215A48"/>
    <w:rsid w:val="00215B4B"/>
    <w:rsid w:val="00225E2B"/>
    <w:rsid w:val="00231C38"/>
    <w:rsid w:val="002340D8"/>
    <w:rsid w:val="00235628"/>
    <w:rsid w:val="00236658"/>
    <w:rsid w:val="00236C2F"/>
    <w:rsid w:val="00236F10"/>
    <w:rsid w:val="00242CA0"/>
    <w:rsid w:val="002506BC"/>
    <w:rsid w:val="00256A78"/>
    <w:rsid w:val="0026715E"/>
    <w:rsid w:val="00271568"/>
    <w:rsid w:val="002740BE"/>
    <w:rsid w:val="0027645B"/>
    <w:rsid w:val="00282391"/>
    <w:rsid w:val="00283322"/>
    <w:rsid w:val="00284D75"/>
    <w:rsid w:val="00286D5B"/>
    <w:rsid w:val="00295870"/>
    <w:rsid w:val="002A0313"/>
    <w:rsid w:val="002A03BD"/>
    <w:rsid w:val="002B1A1D"/>
    <w:rsid w:val="002B3FE3"/>
    <w:rsid w:val="002B41DA"/>
    <w:rsid w:val="002B59B5"/>
    <w:rsid w:val="002B7807"/>
    <w:rsid w:val="002C4B36"/>
    <w:rsid w:val="002C54E9"/>
    <w:rsid w:val="002D092A"/>
    <w:rsid w:val="002D0EB1"/>
    <w:rsid w:val="002D43F0"/>
    <w:rsid w:val="002D4C29"/>
    <w:rsid w:val="002E427B"/>
    <w:rsid w:val="002F16E0"/>
    <w:rsid w:val="0030387B"/>
    <w:rsid w:val="003057F6"/>
    <w:rsid w:val="00315791"/>
    <w:rsid w:val="00315A1D"/>
    <w:rsid w:val="00317391"/>
    <w:rsid w:val="003207E6"/>
    <w:rsid w:val="00321AA5"/>
    <w:rsid w:val="0032265B"/>
    <w:rsid w:val="003313FD"/>
    <w:rsid w:val="00334EA4"/>
    <w:rsid w:val="00334F35"/>
    <w:rsid w:val="0033730A"/>
    <w:rsid w:val="0034148B"/>
    <w:rsid w:val="00346928"/>
    <w:rsid w:val="0035070F"/>
    <w:rsid w:val="003648E9"/>
    <w:rsid w:val="00366F42"/>
    <w:rsid w:val="00374077"/>
    <w:rsid w:val="00375031"/>
    <w:rsid w:val="003771C6"/>
    <w:rsid w:val="00380BAE"/>
    <w:rsid w:val="00381677"/>
    <w:rsid w:val="00386BA0"/>
    <w:rsid w:val="003870F0"/>
    <w:rsid w:val="00390827"/>
    <w:rsid w:val="00393558"/>
    <w:rsid w:val="003938B2"/>
    <w:rsid w:val="003942B1"/>
    <w:rsid w:val="00396370"/>
    <w:rsid w:val="003A1420"/>
    <w:rsid w:val="003A24B0"/>
    <w:rsid w:val="003A3C9C"/>
    <w:rsid w:val="003A42BD"/>
    <w:rsid w:val="003B1570"/>
    <w:rsid w:val="003B23C1"/>
    <w:rsid w:val="003B3085"/>
    <w:rsid w:val="003B3562"/>
    <w:rsid w:val="003C0026"/>
    <w:rsid w:val="003C6F61"/>
    <w:rsid w:val="003D0B60"/>
    <w:rsid w:val="003D0D79"/>
    <w:rsid w:val="003E5BC6"/>
    <w:rsid w:val="003E60C2"/>
    <w:rsid w:val="003F0D1A"/>
    <w:rsid w:val="003F66F7"/>
    <w:rsid w:val="00400CEA"/>
    <w:rsid w:val="00406269"/>
    <w:rsid w:val="00410950"/>
    <w:rsid w:val="00415A2E"/>
    <w:rsid w:val="00416037"/>
    <w:rsid w:val="00420501"/>
    <w:rsid w:val="00424F9E"/>
    <w:rsid w:val="00426C96"/>
    <w:rsid w:val="00431ECA"/>
    <w:rsid w:val="004377BA"/>
    <w:rsid w:val="0044238E"/>
    <w:rsid w:val="00442FD6"/>
    <w:rsid w:val="0044380A"/>
    <w:rsid w:val="00462381"/>
    <w:rsid w:val="004671D2"/>
    <w:rsid w:val="00470DDE"/>
    <w:rsid w:val="00471115"/>
    <w:rsid w:val="00475836"/>
    <w:rsid w:val="004802CB"/>
    <w:rsid w:val="00482DC0"/>
    <w:rsid w:val="00484F1E"/>
    <w:rsid w:val="00486B44"/>
    <w:rsid w:val="004870F8"/>
    <w:rsid w:val="0048769F"/>
    <w:rsid w:val="00490A63"/>
    <w:rsid w:val="00497679"/>
    <w:rsid w:val="004A3FF5"/>
    <w:rsid w:val="004B1BF8"/>
    <w:rsid w:val="004B5999"/>
    <w:rsid w:val="004B6DFC"/>
    <w:rsid w:val="004C4B37"/>
    <w:rsid w:val="004C6514"/>
    <w:rsid w:val="004D180D"/>
    <w:rsid w:val="004E1CE3"/>
    <w:rsid w:val="004E4011"/>
    <w:rsid w:val="004E5A83"/>
    <w:rsid w:val="004E5BC5"/>
    <w:rsid w:val="004E6700"/>
    <w:rsid w:val="004E71A8"/>
    <w:rsid w:val="004F0191"/>
    <w:rsid w:val="00503755"/>
    <w:rsid w:val="00505AB0"/>
    <w:rsid w:val="005064D1"/>
    <w:rsid w:val="00506C58"/>
    <w:rsid w:val="0051093E"/>
    <w:rsid w:val="005166DE"/>
    <w:rsid w:val="00521E42"/>
    <w:rsid w:val="00523B64"/>
    <w:rsid w:val="005259C5"/>
    <w:rsid w:val="005261EA"/>
    <w:rsid w:val="00527453"/>
    <w:rsid w:val="00532A82"/>
    <w:rsid w:val="0053405D"/>
    <w:rsid w:val="00543928"/>
    <w:rsid w:val="005462E2"/>
    <w:rsid w:val="00551AF0"/>
    <w:rsid w:val="0055274B"/>
    <w:rsid w:val="00554B6E"/>
    <w:rsid w:val="0056242F"/>
    <w:rsid w:val="00564C2B"/>
    <w:rsid w:val="005669D0"/>
    <w:rsid w:val="005674A2"/>
    <w:rsid w:val="00572DF2"/>
    <w:rsid w:val="00576D67"/>
    <w:rsid w:val="005819D9"/>
    <w:rsid w:val="00581D50"/>
    <w:rsid w:val="005826D6"/>
    <w:rsid w:val="005830DB"/>
    <w:rsid w:val="00583A20"/>
    <w:rsid w:val="00583B56"/>
    <w:rsid w:val="0058414E"/>
    <w:rsid w:val="00585EC8"/>
    <w:rsid w:val="005866B7"/>
    <w:rsid w:val="005867E5"/>
    <w:rsid w:val="005908BE"/>
    <w:rsid w:val="00590C94"/>
    <w:rsid w:val="005914A2"/>
    <w:rsid w:val="0059169C"/>
    <w:rsid w:val="00591FB4"/>
    <w:rsid w:val="00597CC8"/>
    <w:rsid w:val="005A20B6"/>
    <w:rsid w:val="005A2390"/>
    <w:rsid w:val="005A571F"/>
    <w:rsid w:val="005B3515"/>
    <w:rsid w:val="005B4159"/>
    <w:rsid w:val="005B5245"/>
    <w:rsid w:val="005C3298"/>
    <w:rsid w:val="005C5380"/>
    <w:rsid w:val="005D3EDF"/>
    <w:rsid w:val="005D7553"/>
    <w:rsid w:val="005E328D"/>
    <w:rsid w:val="005E4715"/>
    <w:rsid w:val="005F09FB"/>
    <w:rsid w:val="00603E58"/>
    <w:rsid w:val="00604623"/>
    <w:rsid w:val="006119C5"/>
    <w:rsid w:val="00612663"/>
    <w:rsid w:val="00612D4B"/>
    <w:rsid w:val="00616CC7"/>
    <w:rsid w:val="00622006"/>
    <w:rsid w:val="006231BF"/>
    <w:rsid w:val="006259F5"/>
    <w:rsid w:val="006267CB"/>
    <w:rsid w:val="00630F1F"/>
    <w:rsid w:val="00640D41"/>
    <w:rsid w:val="006415E9"/>
    <w:rsid w:val="00647537"/>
    <w:rsid w:val="006523B8"/>
    <w:rsid w:val="00652A79"/>
    <w:rsid w:val="00654CEC"/>
    <w:rsid w:val="006572CA"/>
    <w:rsid w:val="00673350"/>
    <w:rsid w:val="00675489"/>
    <w:rsid w:val="00681409"/>
    <w:rsid w:val="00683688"/>
    <w:rsid w:val="00684CBC"/>
    <w:rsid w:val="00685983"/>
    <w:rsid w:val="00686367"/>
    <w:rsid w:val="0068698F"/>
    <w:rsid w:val="006905FB"/>
    <w:rsid w:val="006912E9"/>
    <w:rsid w:val="00691CFF"/>
    <w:rsid w:val="00695465"/>
    <w:rsid w:val="00695CDD"/>
    <w:rsid w:val="00697893"/>
    <w:rsid w:val="006A0A0F"/>
    <w:rsid w:val="006A19A9"/>
    <w:rsid w:val="006A2AD1"/>
    <w:rsid w:val="006A7F3F"/>
    <w:rsid w:val="006B46FB"/>
    <w:rsid w:val="006B4EC3"/>
    <w:rsid w:val="006B69A2"/>
    <w:rsid w:val="006C7244"/>
    <w:rsid w:val="006C7430"/>
    <w:rsid w:val="006D5F43"/>
    <w:rsid w:val="006D758C"/>
    <w:rsid w:val="006E4DBD"/>
    <w:rsid w:val="006E7BBD"/>
    <w:rsid w:val="006E7FAA"/>
    <w:rsid w:val="006F3DC6"/>
    <w:rsid w:val="006F45F7"/>
    <w:rsid w:val="006F5FE9"/>
    <w:rsid w:val="006F61D7"/>
    <w:rsid w:val="006F78F5"/>
    <w:rsid w:val="007005EF"/>
    <w:rsid w:val="00703241"/>
    <w:rsid w:val="00703DC7"/>
    <w:rsid w:val="00704072"/>
    <w:rsid w:val="007117AF"/>
    <w:rsid w:val="007130C9"/>
    <w:rsid w:val="00716AA0"/>
    <w:rsid w:val="00723772"/>
    <w:rsid w:val="00725098"/>
    <w:rsid w:val="00725FA9"/>
    <w:rsid w:val="00725FDB"/>
    <w:rsid w:val="00734070"/>
    <w:rsid w:val="007458D4"/>
    <w:rsid w:val="00746C6C"/>
    <w:rsid w:val="00750F75"/>
    <w:rsid w:val="0075144F"/>
    <w:rsid w:val="00751BCE"/>
    <w:rsid w:val="007543AF"/>
    <w:rsid w:val="007626B5"/>
    <w:rsid w:val="007641FA"/>
    <w:rsid w:val="00764EAA"/>
    <w:rsid w:val="007707C1"/>
    <w:rsid w:val="0077372B"/>
    <w:rsid w:val="007743FA"/>
    <w:rsid w:val="007746AA"/>
    <w:rsid w:val="007756CC"/>
    <w:rsid w:val="007803EC"/>
    <w:rsid w:val="007811A0"/>
    <w:rsid w:val="00781891"/>
    <w:rsid w:val="00781994"/>
    <w:rsid w:val="00784D42"/>
    <w:rsid w:val="007857D1"/>
    <w:rsid w:val="00786F68"/>
    <w:rsid w:val="00787287"/>
    <w:rsid w:val="00787831"/>
    <w:rsid w:val="0079531B"/>
    <w:rsid w:val="00797089"/>
    <w:rsid w:val="007A04E9"/>
    <w:rsid w:val="007A33C7"/>
    <w:rsid w:val="007A6393"/>
    <w:rsid w:val="007A6BD6"/>
    <w:rsid w:val="007A6E7D"/>
    <w:rsid w:val="007C35DF"/>
    <w:rsid w:val="007C5EAF"/>
    <w:rsid w:val="007C7D06"/>
    <w:rsid w:val="007D02A3"/>
    <w:rsid w:val="007D7A90"/>
    <w:rsid w:val="007E48EF"/>
    <w:rsid w:val="007F088F"/>
    <w:rsid w:val="007F1A19"/>
    <w:rsid w:val="00806698"/>
    <w:rsid w:val="00806C03"/>
    <w:rsid w:val="00806FA1"/>
    <w:rsid w:val="0080772A"/>
    <w:rsid w:val="0081699E"/>
    <w:rsid w:val="00820A80"/>
    <w:rsid w:val="00825493"/>
    <w:rsid w:val="00827E40"/>
    <w:rsid w:val="00831702"/>
    <w:rsid w:val="00837D3B"/>
    <w:rsid w:val="00840F18"/>
    <w:rsid w:val="00842B48"/>
    <w:rsid w:val="008436E8"/>
    <w:rsid w:val="00843FFD"/>
    <w:rsid w:val="00844533"/>
    <w:rsid w:val="00846F08"/>
    <w:rsid w:val="0085180F"/>
    <w:rsid w:val="0085364A"/>
    <w:rsid w:val="00861392"/>
    <w:rsid w:val="00861B82"/>
    <w:rsid w:val="00863500"/>
    <w:rsid w:val="00865347"/>
    <w:rsid w:val="00867893"/>
    <w:rsid w:val="00867CFD"/>
    <w:rsid w:val="00871AC1"/>
    <w:rsid w:val="00873989"/>
    <w:rsid w:val="008739C2"/>
    <w:rsid w:val="00874086"/>
    <w:rsid w:val="0087766C"/>
    <w:rsid w:val="008801C9"/>
    <w:rsid w:val="0088356E"/>
    <w:rsid w:val="00885747"/>
    <w:rsid w:val="00894F97"/>
    <w:rsid w:val="00897AB7"/>
    <w:rsid w:val="008A5E16"/>
    <w:rsid w:val="008B09B0"/>
    <w:rsid w:val="008B0A26"/>
    <w:rsid w:val="008B503D"/>
    <w:rsid w:val="008B5869"/>
    <w:rsid w:val="008B6E8A"/>
    <w:rsid w:val="008C34A0"/>
    <w:rsid w:val="008C38F0"/>
    <w:rsid w:val="008D0DE6"/>
    <w:rsid w:val="008D2529"/>
    <w:rsid w:val="008D52D0"/>
    <w:rsid w:val="008D5D11"/>
    <w:rsid w:val="008D66CE"/>
    <w:rsid w:val="008E32A6"/>
    <w:rsid w:val="008E4839"/>
    <w:rsid w:val="008F0B72"/>
    <w:rsid w:val="008F2529"/>
    <w:rsid w:val="008F3F58"/>
    <w:rsid w:val="008F412E"/>
    <w:rsid w:val="008F7781"/>
    <w:rsid w:val="00900812"/>
    <w:rsid w:val="00900DFC"/>
    <w:rsid w:val="009011E7"/>
    <w:rsid w:val="009108E2"/>
    <w:rsid w:val="00915764"/>
    <w:rsid w:val="0093167F"/>
    <w:rsid w:val="00934305"/>
    <w:rsid w:val="00935F15"/>
    <w:rsid w:val="00936AED"/>
    <w:rsid w:val="00937912"/>
    <w:rsid w:val="009401E4"/>
    <w:rsid w:val="00944F44"/>
    <w:rsid w:val="00947C0A"/>
    <w:rsid w:val="00953904"/>
    <w:rsid w:val="009556F0"/>
    <w:rsid w:val="0097245D"/>
    <w:rsid w:val="0097376B"/>
    <w:rsid w:val="00974068"/>
    <w:rsid w:val="00977F67"/>
    <w:rsid w:val="009813AA"/>
    <w:rsid w:val="00983F76"/>
    <w:rsid w:val="00992309"/>
    <w:rsid w:val="00994855"/>
    <w:rsid w:val="0099640A"/>
    <w:rsid w:val="009A0F7D"/>
    <w:rsid w:val="009A12DE"/>
    <w:rsid w:val="009A24DA"/>
    <w:rsid w:val="009B05CA"/>
    <w:rsid w:val="009B4439"/>
    <w:rsid w:val="009B5AC8"/>
    <w:rsid w:val="009B60AD"/>
    <w:rsid w:val="009C0A2D"/>
    <w:rsid w:val="009C47A2"/>
    <w:rsid w:val="009C5106"/>
    <w:rsid w:val="009D023C"/>
    <w:rsid w:val="009D7BFE"/>
    <w:rsid w:val="009E0CC0"/>
    <w:rsid w:val="009E35C3"/>
    <w:rsid w:val="009E5317"/>
    <w:rsid w:val="009E79CD"/>
    <w:rsid w:val="009F011E"/>
    <w:rsid w:val="009F0F29"/>
    <w:rsid w:val="009F18A9"/>
    <w:rsid w:val="009F196E"/>
    <w:rsid w:val="009F21B8"/>
    <w:rsid w:val="009F49CE"/>
    <w:rsid w:val="009F6225"/>
    <w:rsid w:val="00A12F2C"/>
    <w:rsid w:val="00A21A6A"/>
    <w:rsid w:val="00A22F00"/>
    <w:rsid w:val="00A23518"/>
    <w:rsid w:val="00A249AC"/>
    <w:rsid w:val="00A27A67"/>
    <w:rsid w:val="00A32080"/>
    <w:rsid w:val="00A323D8"/>
    <w:rsid w:val="00A45B07"/>
    <w:rsid w:val="00A47692"/>
    <w:rsid w:val="00A52747"/>
    <w:rsid w:val="00A530D9"/>
    <w:rsid w:val="00A612F9"/>
    <w:rsid w:val="00A641F1"/>
    <w:rsid w:val="00A65C36"/>
    <w:rsid w:val="00A65FD1"/>
    <w:rsid w:val="00A676CA"/>
    <w:rsid w:val="00A70155"/>
    <w:rsid w:val="00A73496"/>
    <w:rsid w:val="00A83375"/>
    <w:rsid w:val="00A8753C"/>
    <w:rsid w:val="00A92C6E"/>
    <w:rsid w:val="00A94823"/>
    <w:rsid w:val="00A94E0B"/>
    <w:rsid w:val="00AA0274"/>
    <w:rsid w:val="00AA15E8"/>
    <w:rsid w:val="00AA3FC1"/>
    <w:rsid w:val="00AA7EC3"/>
    <w:rsid w:val="00AB39AA"/>
    <w:rsid w:val="00AB77C2"/>
    <w:rsid w:val="00AC2075"/>
    <w:rsid w:val="00AC4452"/>
    <w:rsid w:val="00AD13F2"/>
    <w:rsid w:val="00AD2EDA"/>
    <w:rsid w:val="00AD3486"/>
    <w:rsid w:val="00AE14AF"/>
    <w:rsid w:val="00AE43FF"/>
    <w:rsid w:val="00AE45FC"/>
    <w:rsid w:val="00AE5E4C"/>
    <w:rsid w:val="00AE6F9F"/>
    <w:rsid w:val="00AF04EB"/>
    <w:rsid w:val="00AF7056"/>
    <w:rsid w:val="00B023E1"/>
    <w:rsid w:val="00B0322C"/>
    <w:rsid w:val="00B05451"/>
    <w:rsid w:val="00B10709"/>
    <w:rsid w:val="00B10C36"/>
    <w:rsid w:val="00B126EF"/>
    <w:rsid w:val="00B162D9"/>
    <w:rsid w:val="00B16398"/>
    <w:rsid w:val="00B16DA7"/>
    <w:rsid w:val="00B17364"/>
    <w:rsid w:val="00B21055"/>
    <w:rsid w:val="00B2355F"/>
    <w:rsid w:val="00B3602D"/>
    <w:rsid w:val="00B441DA"/>
    <w:rsid w:val="00B44F71"/>
    <w:rsid w:val="00B4538D"/>
    <w:rsid w:val="00B47645"/>
    <w:rsid w:val="00B510AB"/>
    <w:rsid w:val="00B57CF2"/>
    <w:rsid w:val="00B615FA"/>
    <w:rsid w:val="00B62E0D"/>
    <w:rsid w:val="00B664D5"/>
    <w:rsid w:val="00B66A51"/>
    <w:rsid w:val="00B67A8A"/>
    <w:rsid w:val="00B715D9"/>
    <w:rsid w:val="00B76414"/>
    <w:rsid w:val="00B77209"/>
    <w:rsid w:val="00B82619"/>
    <w:rsid w:val="00B91D4D"/>
    <w:rsid w:val="00BA33F3"/>
    <w:rsid w:val="00BA4773"/>
    <w:rsid w:val="00BA5587"/>
    <w:rsid w:val="00BB3882"/>
    <w:rsid w:val="00BB3E55"/>
    <w:rsid w:val="00BB6988"/>
    <w:rsid w:val="00BC7050"/>
    <w:rsid w:val="00BD0273"/>
    <w:rsid w:val="00BD0735"/>
    <w:rsid w:val="00BD2C22"/>
    <w:rsid w:val="00BE06CC"/>
    <w:rsid w:val="00BE3AFE"/>
    <w:rsid w:val="00BE6569"/>
    <w:rsid w:val="00BF36AB"/>
    <w:rsid w:val="00BF425B"/>
    <w:rsid w:val="00BF463D"/>
    <w:rsid w:val="00BF5940"/>
    <w:rsid w:val="00BF5AED"/>
    <w:rsid w:val="00BF7A62"/>
    <w:rsid w:val="00C04C94"/>
    <w:rsid w:val="00C06115"/>
    <w:rsid w:val="00C07C3B"/>
    <w:rsid w:val="00C13CAA"/>
    <w:rsid w:val="00C16B45"/>
    <w:rsid w:val="00C21704"/>
    <w:rsid w:val="00C226F4"/>
    <w:rsid w:val="00C247EA"/>
    <w:rsid w:val="00C31615"/>
    <w:rsid w:val="00C408C8"/>
    <w:rsid w:val="00C41421"/>
    <w:rsid w:val="00C44D84"/>
    <w:rsid w:val="00C46270"/>
    <w:rsid w:val="00C473E7"/>
    <w:rsid w:val="00C506F5"/>
    <w:rsid w:val="00C519FF"/>
    <w:rsid w:val="00C56687"/>
    <w:rsid w:val="00C5674C"/>
    <w:rsid w:val="00C61205"/>
    <w:rsid w:val="00C6529B"/>
    <w:rsid w:val="00C65A89"/>
    <w:rsid w:val="00C7731A"/>
    <w:rsid w:val="00C81546"/>
    <w:rsid w:val="00C82EAC"/>
    <w:rsid w:val="00C82EF3"/>
    <w:rsid w:val="00C836A7"/>
    <w:rsid w:val="00C97382"/>
    <w:rsid w:val="00CB3929"/>
    <w:rsid w:val="00CB3C5E"/>
    <w:rsid w:val="00CB77AD"/>
    <w:rsid w:val="00CB7D8C"/>
    <w:rsid w:val="00CC2453"/>
    <w:rsid w:val="00CC4043"/>
    <w:rsid w:val="00CC4D9F"/>
    <w:rsid w:val="00CC645A"/>
    <w:rsid w:val="00CD07E9"/>
    <w:rsid w:val="00CD298F"/>
    <w:rsid w:val="00CD6092"/>
    <w:rsid w:val="00CE2460"/>
    <w:rsid w:val="00CF1FCB"/>
    <w:rsid w:val="00CF30FB"/>
    <w:rsid w:val="00CF31BF"/>
    <w:rsid w:val="00CF48F7"/>
    <w:rsid w:val="00CF57B1"/>
    <w:rsid w:val="00CF7B0B"/>
    <w:rsid w:val="00D027DD"/>
    <w:rsid w:val="00D028A3"/>
    <w:rsid w:val="00D100B8"/>
    <w:rsid w:val="00D15147"/>
    <w:rsid w:val="00D210EA"/>
    <w:rsid w:val="00D21F5A"/>
    <w:rsid w:val="00D22C66"/>
    <w:rsid w:val="00D22D49"/>
    <w:rsid w:val="00D269BA"/>
    <w:rsid w:val="00D27BD2"/>
    <w:rsid w:val="00D31503"/>
    <w:rsid w:val="00D317B7"/>
    <w:rsid w:val="00D31DEE"/>
    <w:rsid w:val="00D33943"/>
    <w:rsid w:val="00D370E2"/>
    <w:rsid w:val="00D37F06"/>
    <w:rsid w:val="00D37F55"/>
    <w:rsid w:val="00D402F1"/>
    <w:rsid w:val="00D42BDC"/>
    <w:rsid w:val="00D45926"/>
    <w:rsid w:val="00D5013E"/>
    <w:rsid w:val="00D52D5F"/>
    <w:rsid w:val="00D52F22"/>
    <w:rsid w:val="00D52F43"/>
    <w:rsid w:val="00D55FD7"/>
    <w:rsid w:val="00D60230"/>
    <w:rsid w:val="00D6338E"/>
    <w:rsid w:val="00D63603"/>
    <w:rsid w:val="00D6592A"/>
    <w:rsid w:val="00D67A63"/>
    <w:rsid w:val="00D721EB"/>
    <w:rsid w:val="00D729D3"/>
    <w:rsid w:val="00D766F9"/>
    <w:rsid w:val="00D76948"/>
    <w:rsid w:val="00D8207A"/>
    <w:rsid w:val="00D83FC4"/>
    <w:rsid w:val="00D854EC"/>
    <w:rsid w:val="00D85F19"/>
    <w:rsid w:val="00D861C3"/>
    <w:rsid w:val="00D87D01"/>
    <w:rsid w:val="00D901D4"/>
    <w:rsid w:val="00D91E52"/>
    <w:rsid w:val="00D932C1"/>
    <w:rsid w:val="00DA0F50"/>
    <w:rsid w:val="00DA2F4D"/>
    <w:rsid w:val="00DA3462"/>
    <w:rsid w:val="00DA6038"/>
    <w:rsid w:val="00DA6FEB"/>
    <w:rsid w:val="00DB1376"/>
    <w:rsid w:val="00DD330A"/>
    <w:rsid w:val="00DD5B2A"/>
    <w:rsid w:val="00DD7138"/>
    <w:rsid w:val="00DE0544"/>
    <w:rsid w:val="00DE552C"/>
    <w:rsid w:val="00DE799F"/>
    <w:rsid w:val="00DF1DC7"/>
    <w:rsid w:val="00DF5741"/>
    <w:rsid w:val="00DF5830"/>
    <w:rsid w:val="00E007E0"/>
    <w:rsid w:val="00E00CA4"/>
    <w:rsid w:val="00E01214"/>
    <w:rsid w:val="00E01451"/>
    <w:rsid w:val="00E03BC4"/>
    <w:rsid w:val="00E0638F"/>
    <w:rsid w:val="00E069E7"/>
    <w:rsid w:val="00E06ABA"/>
    <w:rsid w:val="00E110BB"/>
    <w:rsid w:val="00E13D60"/>
    <w:rsid w:val="00E1501C"/>
    <w:rsid w:val="00E17705"/>
    <w:rsid w:val="00E17C6F"/>
    <w:rsid w:val="00E213C6"/>
    <w:rsid w:val="00E21D60"/>
    <w:rsid w:val="00E24DBA"/>
    <w:rsid w:val="00E24F8E"/>
    <w:rsid w:val="00E27BBA"/>
    <w:rsid w:val="00E34E03"/>
    <w:rsid w:val="00E352CC"/>
    <w:rsid w:val="00E3546E"/>
    <w:rsid w:val="00E4003F"/>
    <w:rsid w:val="00E4196F"/>
    <w:rsid w:val="00E45D95"/>
    <w:rsid w:val="00E5561D"/>
    <w:rsid w:val="00E57041"/>
    <w:rsid w:val="00E669ED"/>
    <w:rsid w:val="00E707A7"/>
    <w:rsid w:val="00E724A8"/>
    <w:rsid w:val="00E77676"/>
    <w:rsid w:val="00E80A24"/>
    <w:rsid w:val="00E86C05"/>
    <w:rsid w:val="00E92C82"/>
    <w:rsid w:val="00E9364C"/>
    <w:rsid w:val="00E93849"/>
    <w:rsid w:val="00E95452"/>
    <w:rsid w:val="00E96AD3"/>
    <w:rsid w:val="00EA3738"/>
    <w:rsid w:val="00EA3C5E"/>
    <w:rsid w:val="00EB16A7"/>
    <w:rsid w:val="00EB2400"/>
    <w:rsid w:val="00EB62F3"/>
    <w:rsid w:val="00EC0C17"/>
    <w:rsid w:val="00EC20E0"/>
    <w:rsid w:val="00EC35DA"/>
    <w:rsid w:val="00EC4172"/>
    <w:rsid w:val="00EC651E"/>
    <w:rsid w:val="00ED1F0F"/>
    <w:rsid w:val="00ED47C9"/>
    <w:rsid w:val="00EE1C76"/>
    <w:rsid w:val="00EE546A"/>
    <w:rsid w:val="00EE550E"/>
    <w:rsid w:val="00F0181F"/>
    <w:rsid w:val="00F03C47"/>
    <w:rsid w:val="00F06F98"/>
    <w:rsid w:val="00F11299"/>
    <w:rsid w:val="00F14871"/>
    <w:rsid w:val="00F216DE"/>
    <w:rsid w:val="00F223E5"/>
    <w:rsid w:val="00F36AB5"/>
    <w:rsid w:val="00F37384"/>
    <w:rsid w:val="00F41268"/>
    <w:rsid w:val="00F444D1"/>
    <w:rsid w:val="00F46D95"/>
    <w:rsid w:val="00F50D60"/>
    <w:rsid w:val="00F52285"/>
    <w:rsid w:val="00F56CCE"/>
    <w:rsid w:val="00F56E50"/>
    <w:rsid w:val="00F5778C"/>
    <w:rsid w:val="00F578CC"/>
    <w:rsid w:val="00F61765"/>
    <w:rsid w:val="00F72A57"/>
    <w:rsid w:val="00F8646C"/>
    <w:rsid w:val="00F910B5"/>
    <w:rsid w:val="00F91EE2"/>
    <w:rsid w:val="00F9275E"/>
    <w:rsid w:val="00F93549"/>
    <w:rsid w:val="00F944CC"/>
    <w:rsid w:val="00FA5B84"/>
    <w:rsid w:val="00FA5EF8"/>
    <w:rsid w:val="00FB068F"/>
    <w:rsid w:val="00FB08F4"/>
    <w:rsid w:val="00FB32C7"/>
    <w:rsid w:val="00FB44AC"/>
    <w:rsid w:val="00FB552B"/>
    <w:rsid w:val="00FB6D9B"/>
    <w:rsid w:val="00FC3DA9"/>
    <w:rsid w:val="00FC73BC"/>
    <w:rsid w:val="00FC74CA"/>
    <w:rsid w:val="00FD0167"/>
    <w:rsid w:val="00FD3CD9"/>
    <w:rsid w:val="00FD4B2F"/>
    <w:rsid w:val="00FD5F3A"/>
    <w:rsid w:val="00FD6050"/>
    <w:rsid w:val="00FD6A26"/>
    <w:rsid w:val="00FF2EAB"/>
    <w:rsid w:val="00FF2F76"/>
    <w:rsid w:val="00FF61D0"/>
    <w:rsid w:val="00FF6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ECC3"/>
  <w15:chartTrackingRefBased/>
  <w15:docId w15:val="{DAE9DE02-5862-4F25-82D7-23901BDE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FAA"/>
    <w:pPr>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6E7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E7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7F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7F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7F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7FA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7FA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7FA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7FA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F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7F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7F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7F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7F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7F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F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F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F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FA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7F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F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7F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F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7FAA"/>
    <w:rPr>
      <w:i/>
      <w:iCs/>
      <w:color w:val="404040" w:themeColor="text1" w:themeTint="BF"/>
    </w:rPr>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1 level"/>
    <w:basedOn w:val="prastasis"/>
    <w:link w:val="SraopastraipaDiagrama"/>
    <w:uiPriority w:val="34"/>
    <w:qFormat/>
    <w:rsid w:val="006E7FAA"/>
    <w:pPr>
      <w:ind w:left="720"/>
      <w:contextualSpacing/>
    </w:pPr>
  </w:style>
  <w:style w:type="character" w:styleId="Rykuspabraukimas">
    <w:name w:val="Intense Emphasis"/>
    <w:basedOn w:val="Numatytasispastraiposriftas"/>
    <w:uiPriority w:val="21"/>
    <w:qFormat/>
    <w:rsid w:val="006E7FAA"/>
    <w:rPr>
      <w:i/>
      <w:iCs/>
      <w:color w:val="2F5496" w:themeColor="accent1" w:themeShade="BF"/>
    </w:rPr>
  </w:style>
  <w:style w:type="paragraph" w:styleId="Iskirtacitata">
    <w:name w:val="Intense Quote"/>
    <w:basedOn w:val="prastasis"/>
    <w:next w:val="prastasis"/>
    <w:link w:val="IskirtacitataDiagrama"/>
    <w:uiPriority w:val="30"/>
    <w:qFormat/>
    <w:rsid w:val="006E7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7FAA"/>
    <w:rPr>
      <w:i/>
      <w:iCs/>
      <w:color w:val="2F5496" w:themeColor="accent1" w:themeShade="BF"/>
    </w:rPr>
  </w:style>
  <w:style w:type="character" w:styleId="Rykinuoroda">
    <w:name w:val="Intense Reference"/>
    <w:basedOn w:val="Numatytasispastraiposriftas"/>
    <w:uiPriority w:val="32"/>
    <w:qFormat/>
    <w:rsid w:val="006E7FAA"/>
    <w:rPr>
      <w:b/>
      <w:bCs/>
      <w:smallCaps/>
      <w:color w:val="2F5496" w:themeColor="accent1" w:themeShade="BF"/>
      <w:spacing w:val="5"/>
    </w:rPr>
  </w:style>
  <w:style w:type="paragraph" w:styleId="Antrats">
    <w:name w:val="header"/>
    <w:basedOn w:val="prastasis"/>
    <w:link w:val="AntratsDiagrama"/>
    <w:rsid w:val="006E7FAA"/>
    <w:pPr>
      <w:tabs>
        <w:tab w:val="center" w:pos="4153"/>
        <w:tab w:val="right" w:pos="8306"/>
      </w:tabs>
    </w:pPr>
  </w:style>
  <w:style w:type="character" w:customStyle="1" w:styleId="AntratsDiagrama">
    <w:name w:val="Antraštės Diagrama"/>
    <w:basedOn w:val="Numatytasispastraiposriftas"/>
    <w:link w:val="Antrats"/>
    <w:rsid w:val="006E7FAA"/>
    <w:rPr>
      <w:rFonts w:ascii="Times New Roman" w:eastAsia="Times New Roman" w:hAnsi="Times New Roman" w:cs="Times New Roman"/>
      <w:kern w:val="0"/>
      <w:lang w:val="en-GB"/>
      <w14:ligatures w14:val="none"/>
    </w:rPr>
  </w:style>
  <w:style w:type="character" w:styleId="Puslapionumeris">
    <w:name w:val="page number"/>
    <w:basedOn w:val="Numatytasispastraiposriftas"/>
    <w:rsid w:val="006E7FAA"/>
  </w:style>
  <w:style w:type="paragraph" w:styleId="Porat">
    <w:name w:val="footer"/>
    <w:basedOn w:val="prastasis"/>
    <w:link w:val="PoratDiagrama"/>
    <w:rsid w:val="006E7FAA"/>
    <w:pPr>
      <w:tabs>
        <w:tab w:val="center" w:pos="4153"/>
        <w:tab w:val="right" w:pos="8306"/>
      </w:tabs>
    </w:pPr>
  </w:style>
  <w:style w:type="character" w:customStyle="1" w:styleId="PoratDiagrama">
    <w:name w:val="Poraštė Diagrama"/>
    <w:basedOn w:val="Numatytasispastraiposriftas"/>
    <w:link w:val="Porat"/>
    <w:rsid w:val="006E7FAA"/>
    <w:rPr>
      <w:rFonts w:ascii="Times New Roman" w:eastAsia="Times New Roman" w:hAnsi="Times New Roman" w:cs="Times New Roman"/>
      <w:kern w:val="0"/>
      <w:lang w:val="en-GB"/>
      <w14:ligatures w14:val="none"/>
    </w:rPr>
  </w:style>
  <w:style w:type="paragraph" w:styleId="Pagrindinistekstas">
    <w:name w:val="Body Text"/>
    <w:basedOn w:val="prastasis"/>
    <w:link w:val="PagrindinistekstasDiagrama"/>
    <w:rsid w:val="006E7FAA"/>
    <w:pPr>
      <w:jc w:val="both"/>
    </w:pPr>
    <w:rPr>
      <w:lang w:val="lt-LT"/>
    </w:rPr>
  </w:style>
  <w:style w:type="character" w:customStyle="1" w:styleId="PagrindinistekstasDiagrama">
    <w:name w:val="Pagrindinis tekstas Diagrama"/>
    <w:basedOn w:val="Numatytasispastraiposriftas"/>
    <w:link w:val="Pagrindinistekstas"/>
    <w:rsid w:val="006E7FAA"/>
    <w:rPr>
      <w:rFonts w:ascii="Times New Roman" w:eastAsia="Times New Roman" w:hAnsi="Times New Roman" w:cs="Times New Roman"/>
      <w:kern w:val="0"/>
      <w:lang w:val="lt-LT"/>
      <w14:ligatures w14:val="none"/>
    </w:rPr>
  </w:style>
  <w:style w:type="paragraph" w:styleId="Pagrindiniotekstotrauka">
    <w:name w:val="Body Text Indent"/>
    <w:basedOn w:val="prastasis"/>
    <w:link w:val="PagrindiniotekstotraukaDiagrama"/>
    <w:rsid w:val="006E7FAA"/>
    <w:pPr>
      <w:ind w:firstLine="720"/>
      <w:jc w:val="both"/>
    </w:pPr>
    <w:rPr>
      <w:lang w:val="lt-LT"/>
    </w:rPr>
  </w:style>
  <w:style w:type="character" w:customStyle="1" w:styleId="PagrindiniotekstotraukaDiagrama">
    <w:name w:val="Pagrindinio teksto įtrauka Diagrama"/>
    <w:basedOn w:val="Numatytasispastraiposriftas"/>
    <w:link w:val="Pagrindiniotekstotrauka"/>
    <w:rsid w:val="006E7FAA"/>
    <w:rPr>
      <w:rFonts w:ascii="Times New Roman" w:eastAsia="Times New Roman" w:hAnsi="Times New Roman" w:cs="Times New Roman"/>
      <w:kern w:val="0"/>
      <w:lang w:val="lt-LT"/>
      <w14:ligatures w14:val="none"/>
    </w:rPr>
  </w:style>
  <w:style w:type="paragraph" w:styleId="Pataisymai">
    <w:name w:val="Revision"/>
    <w:hidden/>
    <w:uiPriority w:val="99"/>
    <w:semiHidden/>
    <w:rsid w:val="00604623"/>
    <w:pPr>
      <w:spacing w:after="0" w:line="240" w:lineRule="auto"/>
    </w:pPr>
    <w:rPr>
      <w:rFonts w:ascii="Times New Roman" w:eastAsia="Times New Roman" w:hAnsi="Times New Roman" w:cs="Times New Roman"/>
      <w:kern w:val="0"/>
      <w:lang w:val="en-GB"/>
      <w14:ligatures w14:val="none"/>
    </w:rPr>
  </w:style>
  <w:style w:type="character" w:customStyle="1" w:styleId="Bodytext2">
    <w:name w:val="Body text (2)_"/>
    <w:basedOn w:val="Numatytasispastraiposriftas"/>
    <w:link w:val="Bodytext20"/>
    <w:rsid w:val="00583A20"/>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83A20"/>
    <w:pPr>
      <w:widowControl w:val="0"/>
      <w:shd w:val="clear" w:color="auto" w:fill="FFFFFF"/>
      <w:spacing w:before="480" w:after="60" w:line="0" w:lineRule="atLeast"/>
      <w:jc w:val="both"/>
    </w:pPr>
    <w:rPr>
      <w:kern w:val="2"/>
      <w:lang w:val="en-US"/>
      <w14:ligatures w14:val="standardContextual"/>
    </w:rPr>
  </w:style>
  <w:style w:type="character" w:styleId="Hipersaitas">
    <w:name w:val="Hyperlink"/>
    <w:basedOn w:val="Numatytasispastraiposriftas"/>
    <w:rsid w:val="002D092A"/>
    <w:rPr>
      <w:color w:val="0066CC"/>
      <w:u w:val="single"/>
    </w:rPr>
  </w:style>
  <w:style w:type="character" w:customStyle="1" w:styleId="Bodytext2Italic">
    <w:name w:val="Body text (2) + Italic"/>
    <w:basedOn w:val="Bodytext2"/>
    <w:rsid w:val="007005E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numbering" w:customStyle="1" w:styleId="Esamassraas1">
    <w:name w:val="Esamas sąrašas1"/>
    <w:uiPriority w:val="99"/>
    <w:rsid w:val="00C82EF3"/>
    <w:pPr>
      <w:numPr>
        <w:numId w:val="8"/>
      </w:numPr>
    </w:pPr>
  </w:style>
  <w:style w:type="character" w:styleId="Neapdorotaspaminjimas">
    <w:name w:val="Unresolved Mention"/>
    <w:basedOn w:val="Numatytasispastraiposriftas"/>
    <w:uiPriority w:val="99"/>
    <w:semiHidden/>
    <w:unhideWhenUsed/>
    <w:rsid w:val="00C65A89"/>
    <w:rPr>
      <w:color w:val="605E5C"/>
      <w:shd w:val="clear" w:color="auto" w:fill="E1DFDD"/>
    </w:rPr>
  </w:style>
  <w:style w:type="character" w:customStyle="1" w:styleId="Bodytext5">
    <w:name w:val="Body text (5)_"/>
    <w:basedOn w:val="Numatytasispastraiposriftas"/>
    <w:link w:val="Bodytext50"/>
    <w:rsid w:val="000227D9"/>
    <w:rPr>
      <w:rFonts w:ascii="Times New Roman" w:eastAsia="Times New Roman" w:hAnsi="Times New Roman" w:cs="Times New Roman"/>
      <w:i/>
      <w:iCs/>
      <w:shd w:val="clear" w:color="auto" w:fill="FFFFFF"/>
    </w:rPr>
  </w:style>
  <w:style w:type="paragraph" w:customStyle="1" w:styleId="Bodytext50">
    <w:name w:val="Body text (5)"/>
    <w:basedOn w:val="prastasis"/>
    <w:link w:val="Bodytext5"/>
    <w:rsid w:val="000227D9"/>
    <w:pPr>
      <w:widowControl w:val="0"/>
      <w:shd w:val="clear" w:color="auto" w:fill="FFFFFF"/>
      <w:spacing w:before="240" w:after="300" w:line="0" w:lineRule="atLeast"/>
      <w:ind w:firstLine="820"/>
      <w:jc w:val="both"/>
    </w:pPr>
    <w:rPr>
      <w:i/>
      <w:iCs/>
      <w:kern w:val="2"/>
      <w:lang w:val="en-US"/>
      <w14:ligatures w14:val="standardContextual"/>
    </w:rPr>
  </w:style>
  <w:style w:type="character" w:styleId="Komentaronuoroda">
    <w:name w:val="annotation reference"/>
    <w:basedOn w:val="Numatytasispastraiposriftas"/>
    <w:uiPriority w:val="99"/>
    <w:semiHidden/>
    <w:unhideWhenUsed/>
    <w:rsid w:val="007746AA"/>
    <w:rPr>
      <w:sz w:val="16"/>
      <w:szCs w:val="16"/>
    </w:rPr>
  </w:style>
  <w:style w:type="paragraph" w:styleId="Komentarotekstas">
    <w:name w:val="annotation text"/>
    <w:basedOn w:val="prastasis"/>
    <w:link w:val="KomentarotekstasDiagrama"/>
    <w:uiPriority w:val="99"/>
    <w:unhideWhenUsed/>
    <w:rsid w:val="007746AA"/>
    <w:rPr>
      <w:sz w:val="20"/>
      <w:szCs w:val="20"/>
    </w:rPr>
  </w:style>
  <w:style w:type="character" w:customStyle="1" w:styleId="KomentarotekstasDiagrama">
    <w:name w:val="Komentaro tekstas Diagrama"/>
    <w:basedOn w:val="Numatytasispastraiposriftas"/>
    <w:link w:val="Komentarotekstas"/>
    <w:uiPriority w:val="99"/>
    <w:rsid w:val="007746AA"/>
    <w:rPr>
      <w:rFonts w:ascii="Times New Roman" w:eastAsia="Times New Roman" w:hAnsi="Times New Roman" w:cs="Times New Roman"/>
      <w:kern w:val="0"/>
      <w:sz w:val="20"/>
      <w:szCs w:val="20"/>
      <w:lang w:val="en-GB"/>
      <w14:ligatures w14:val="none"/>
    </w:rPr>
  </w:style>
  <w:style w:type="paragraph" w:styleId="prastasiniatinklio">
    <w:name w:val="Normal (Web)"/>
    <w:basedOn w:val="prastasis"/>
    <w:link w:val="prastasiniatinklioDiagrama"/>
    <w:uiPriority w:val="99"/>
    <w:unhideWhenUsed/>
    <w:rsid w:val="001C2561"/>
    <w:pPr>
      <w:spacing w:before="100" w:beforeAutospacing="1" w:after="100" w:afterAutospacing="1"/>
    </w:pPr>
    <w:rPr>
      <w:lang w:val="lt-LT" w:eastAsia="lt-LT"/>
    </w:rPr>
  </w:style>
  <w:style w:type="character" w:customStyle="1" w:styleId="prastasiniatinklioDiagrama">
    <w:name w:val="Įprastas (žiniatinklio) Diagrama"/>
    <w:link w:val="prastasiniatinklio"/>
    <w:uiPriority w:val="99"/>
    <w:locked/>
    <w:rsid w:val="001C2561"/>
    <w:rPr>
      <w:rFonts w:ascii="Times New Roman" w:eastAsia="Times New Roman" w:hAnsi="Times New Roman" w:cs="Times New Roman"/>
      <w:kern w:val="0"/>
      <w:lang w:val="lt-LT" w:eastAsia="lt-LT"/>
      <w14:ligatures w14:val="none"/>
    </w:rPr>
  </w:style>
  <w:style w:type="numbering" w:customStyle="1" w:styleId="ImportedStyle1">
    <w:name w:val="Imported Style 1"/>
    <w:rsid w:val="00A94823"/>
    <w:pPr>
      <w:numPr>
        <w:numId w:val="13"/>
      </w:numPr>
    </w:pPr>
  </w:style>
  <w:style w:type="paragraph" w:customStyle="1" w:styleId="tajtip">
    <w:name w:val="tajtip"/>
    <w:basedOn w:val="prastasis"/>
    <w:rsid w:val="00A94823"/>
    <w:pPr>
      <w:spacing w:before="100" w:beforeAutospacing="1" w:after="100" w:afterAutospacing="1"/>
    </w:pPr>
    <w:rPr>
      <w:u w:color="000000"/>
      <w:lang w:val="lt-LT" w:eastAsia="lt-LT"/>
    </w:rPr>
  </w:style>
  <w:style w:type="paragraph" w:customStyle="1" w:styleId="list-paragraph">
    <w:name w:val="list-paragraph"/>
    <w:basedOn w:val="prastasis"/>
    <w:rsid w:val="00410950"/>
    <w:pPr>
      <w:spacing w:before="100" w:beforeAutospacing="1" w:after="100" w:afterAutospacing="1"/>
    </w:pPr>
    <w:rPr>
      <w:rFonts w:eastAsiaTheme="minorEastAsia"/>
      <w:lang w:val="lt-LT" w:eastAsia="lt-LT"/>
    </w:rPr>
  </w:style>
  <w:style w:type="character" w:customStyle="1" w:styleId="Numatytasispastraiposriftas1">
    <w:name w:val="Numatytasis pastraipos šriftas1"/>
    <w:rsid w:val="001D04C5"/>
  </w:style>
  <w:style w:type="character" w:customStyle="1" w:styleId="None">
    <w:name w:val="None"/>
    <w:rsid w:val="008F0B72"/>
  </w:style>
  <w:style w:type="character" w:customStyle="1" w:styleId="blackcaption">
    <w:name w:val="black_caption"/>
    <w:basedOn w:val="Numatytasispastraiposriftas"/>
    <w:rsid w:val="000514E7"/>
  </w:style>
  <w:style w:type="character" w:customStyle="1" w:styleId="Bodytext2Bold">
    <w:name w:val="Body text (2) + Bold"/>
    <w:basedOn w:val="Bodytext2"/>
    <w:rsid w:val="003313FD"/>
    <w:rPr>
      <w:rFonts w:ascii="Calibri" w:eastAsia="Calibri" w:hAnsi="Calibri" w:cs="Calibri"/>
      <w:b/>
      <w:bCs/>
      <w:i w:val="0"/>
      <w:iCs w:val="0"/>
      <w:smallCaps w:val="0"/>
      <w:strike w:val="0"/>
      <w:color w:val="000000"/>
      <w:spacing w:val="0"/>
      <w:w w:val="100"/>
      <w:position w:val="0"/>
      <w:sz w:val="21"/>
      <w:szCs w:val="21"/>
      <w:u w:val="none"/>
      <w:shd w:val="clear" w:color="auto" w:fill="FFFFFF"/>
      <w:lang w:val="lt-LT" w:eastAsia="lt-LT" w:bidi="lt-LT"/>
    </w:rPr>
  </w:style>
  <w:style w:type="paragraph" w:customStyle="1" w:styleId="Standard">
    <w:name w:val="Standard"/>
    <w:rsid w:val="00797089"/>
    <w:pPr>
      <w:suppressAutoHyphens/>
      <w:autoSpaceDN w:val="0"/>
      <w:spacing w:after="0" w:line="240" w:lineRule="auto"/>
      <w:textAlignment w:val="baseline"/>
    </w:pPr>
    <w:rPr>
      <w:rFonts w:ascii="Times New Roman" w:eastAsia="Times New Roman" w:hAnsi="Times New Roman" w:cs="Times New Roman"/>
      <w:kern w:val="0"/>
      <w:szCs w:val="20"/>
      <w:lang w:val="lt-LT" w:eastAsia="zh-CN"/>
      <w14:ligatures w14:val="none"/>
    </w:rPr>
  </w:style>
  <w:style w:type="character" w:customStyle="1" w:styleId="DefaultParagraphFont11">
    <w:name w:val="Default Paragraph Font11"/>
    <w:rsid w:val="00797089"/>
  </w:style>
  <w:style w:type="character" w:customStyle="1" w:styleId="CharStyle12">
    <w:name w:val="Char Style 12"/>
    <w:rsid w:val="00734070"/>
    <w:rPr>
      <w:sz w:val="22"/>
      <w:szCs w:val="22"/>
      <w:shd w:val="clear" w:color="auto" w:fill="FFFFFF"/>
    </w:rPr>
  </w:style>
  <w:style w:type="character" w:customStyle="1" w:styleId="DefaultParagraphFont5">
    <w:name w:val="Default Paragraph Font5"/>
    <w:rsid w:val="00603E58"/>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uiPriority w:val="34"/>
    <w:qFormat/>
    <w:locked/>
    <w:rsid w:val="0002388D"/>
    <w:rPr>
      <w:rFonts w:ascii="Times New Roman" w:eastAsia="Times New Roman" w:hAnsi="Times New Roman" w:cs="Times New Roman"/>
      <w:kern w:val="0"/>
      <w:lang w:val="en-GB"/>
      <w14:ligatures w14:val="none"/>
    </w:rPr>
  </w:style>
  <w:style w:type="paragraph" w:customStyle="1" w:styleId="Textbody">
    <w:name w:val="Text body"/>
    <w:basedOn w:val="Standard"/>
    <w:rsid w:val="00334F35"/>
    <w:pPr>
      <w:overflowPunct w:val="0"/>
      <w:spacing w:after="140" w:line="288" w:lineRule="auto"/>
    </w:pPr>
  </w:style>
  <w:style w:type="paragraph" w:styleId="Komentarotema">
    <w:name w:val="annotation subject"/>
    <w:basedOn w:val="Komentarotekstas"/>
    <w:next w:val="Komentarotekstas"/>
    <w:link w:val="KomentarotemaDiagrama"/>
    <w:uiPriority w:val="99"/>
    <w:semiHidden/>
    <w:unhideWhenUsed/>
    <w:rsid w:val="00AF04EB"/>
    <w:rPr>
      <w:b/>
      <w:bCs/>
    </w:rPr>
  </w:style>
  <w:style w:type="character" w:customStyle="1" w:styleId="KomentarotemaDiagrama">
    <w:name w:val="Komentaro tema Diagrama"/>
    <w:basedOn w:val="KomentarotekstasDiagrama"/>
    <w:link w:val="Komentarotema"/>
    <w:uiPriority w:val="99"/>
    <w:semiHidden/>
    <w:rsid w:val="00AF04EB"/>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86F9B-ED25-459B-BB23-8DA80120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13771</Words>
  <Characters>7850</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Laura Šivickaitė-Moldarienė</cp:lastModifiedBy>
  <cp:revision>2</cp:revision>
  <cp:lastPrinted>2026-07-07T04:26:00Z</cp:lastPrinted>
  <dcterms:created xsi:type="dcterms:W3CDTF">2026-07-13T11:40:00Z</dcterms:created>
  <dcterms:modified xsi:type="dcterms:W3CDTF">2026-07-16T10:09:00Z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62e9d50b-df0c-4160-bbb8-2d523b916e08</vt:lpwstr>
  </property>
  <property fmtid="{D5CDD505-2E9C-101B-9397-08002B2CF9AE}" pid="3" name="NSM28960fcc9d8d4536a7ae96f6b833d85d202607150645345">
    <vt:lpwstr>oXA6aXa/h3FzcSktkWMQKyO5yK4=</vt:lpwstr>
  </property>
</Properties>
</file>