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501E2" w14:textId="07BB024D" w:rsidR="00556850" w:rsidRPr="0013069A" w:rsidRDefault="009D088D" w:rsidP="00946511">
      <w:pPr>
        <w:tabs>
          <w:tab w:val="center" w:pos="4153"/>
          <w:tab w:val="right" w:pos="10170"/>
        </w:tabs>
        <w:spacing w:after="0" w:line="240" w:lineRule="auto"/>
        <w:rPr>
          <w:rFonts w:eastAsia="Times New Roman" w:cs="Times New Roman"/>
          <w:szCs w:val="20"/>
        </w:rPr>
      </w:pPr>
      <w:bookmarkStart w:id="0" w:name="_Hlk72834001"/>
      <w:r>
        <w:rPr>
          <w:rFonts w:eastAsia="Times New Roman" w:cs="Times New Roman"/>
          <w:szCs w:val="20"/>
        </w:rPr>
        <w:t xml:space="preserve">                                                                                      </w:t>
      </w:r>
      <w:r w:rsidR="00556850" w:rsidRPr="0013069A">
        <w:rPr>
          <w:rFonts w:eastAsia="Times New Roman" w:cs="Times New Roman"/>
          <w:szCs w:val="20"/>
        </w:rPr>
        <w:t xml:space="preserve">Civilinė byla Nr. </w:t>
      </w:r>
      <w:r w:rsidR="00946511" w:rsidRPr="00946511">
        <w:rPr>
          <w:rFonts w:eastAsia="Times New Roman" w:cs="Times New Roman"/>
          <w:szCs w:val="20"/>
        </w:rPr>
        <w:t>e3K-3-2</w:t>
      </w:r>
      <w:r w:rsidR="0071315F">
        <w:rPr>
          <w:rFonts w:eastAsia="Times New Roman" w:cs="Times New Roman"/>
          <w:szCs w:val="20"/>
        </w:rPr>
        <w:t>47</w:t>
      </w:r>
      <w:r w:rsidR="00946511" w:rsidRPr="00946511">
        <w:rPr>
          <w:rFonts w:eastAsia="Times New Roman" w:cs="Times New Roman"/>
          <w:szCs w:val="20"/>
        </w:rPr>
        <w:t>-</w:t>
      </w:r>
      <w:r w:rsidR="0071315F">
        <w:rPr>
          <w:rFonts w:eastAsia="Times New Roman" w:cs="Times New Roman"/>
          <w:szCs w:val="20"/>
        </w:rPr>
        <w:t>684</w:t>
      </w:r>
      <w:r w:rsidR="00946511" w:rsidRPr="00946511">
        <w:rPr>
          <w:rFonts w:eastAsia="Times New Roman" w:cs="Times New Roman"/>
          <w:szCs w:val="20"/>
        </w:rPr>
        <w:t>/2023</w:t>
      </w:r>
    </w:p>
    <w:p w14:paraId="53A62F2A" w14:textId="7A3CF40B" w:rsidR="00AC00DC" w:rsidRPr="0013069A" w:rsidRDefault="00556850" w:rsidP="00946511">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ab/>
      </w:r>
      <w:r w:rsidR="009D088D">
        <w:rPr>
          <w:rFonts w:eastAsia="Times New Roman" w:cs="Times New Roman"/>
          <w:szCs w:val="20"/>
        </w:rPr>
        <w:t xml:space="preserve">                                                                                      </w:t>
      </w:r>
      <w:r w:rsidRPr="0013069A">
        <w:rPr>
          <w:rFonts w:eastAsia="Times New Roman" w:cs="Times New Roman"/>
          <w:szCs w:val="20"/>
        </w:rPr>
        <w:t xml:space="preserve">Teisminio proceso Nr. </w:t>
      </w:r>
      <w:r w:rsidR="00946511" w:rsidRPr="00946511">
        <w:rPr>
          <w:rFonts w:eastAsia="Times New Roman" w:cs="Times New Roman"/>
          <w:szCs w:val="20"/>
        </w:rPr>
        <w:t>2-</w:t>
      </w:r>
      <w:r w:rsidR="00184D59">
        <w:rPr>
          <w:rFonts w:eastAsia="Times New Roman" w:cs="Times New Roman"/>
          <w:szCs w:val="20"/>
        </w:rPr>
        <w:t>55</w:t>
      </w:r>
      <w:r w:rsidR="00946511" w:rsidRPr="00946511">
        <w:rPr>
          <w:rFonts w:eastAsia="Times New Roman" w:cs="Times New Roman"/>
          <w:szCs w:val="20"/>
        </w:rPr>
        <w:t>-3-</w:t>
      </w:r>
      <w:r w:rsidR="00184D59">
        <w:rPr>
          <w:rFonts w:eastAsia="Times New Roman" w:cs="Times New Roman"/>
          <w:szCs w:val="20"/>
        </w:rPr>
        <w:t>01120</w:t>
      </w:r>
      <w:r w:rsidR="00946511" w:rsidRPr="00946511">
        <w:rPr>
          <w:rFonts w:eastAsia="Times New Roman" w:cs="Times New Roman"/>
          <w:szCs w:val="20"/>
        </w:rPr>
        <w:t>-202</w:t>
      </w:r>
      <w:r w:rsidR="00184D59">
        <w:rPr>
          <w:rFonts w:eastAsia="Times New Roman" w:cs="Times New Roman"/>
          <w:szCs w:val="20"/>
        </w:rPr>
        <w:t>1</w:t>
      </w:r>
      <w:r w:rsidR="00946511" w:rsidRPr="00946511">
        <w:rPr>
          <w:rFonts w:eastAsia="Times New Roman" w:cs="Times New Roman"/>
          <w:szCs w:val="20"/>
        </w:rPr>
        <w:t>-</w:t>
      </w:r>
      <w:bookmarkStart w:id="1" w:name="_Hlk59443976"/>
      <w:r w:rsidR="00184D59">
        <w:rPr>
          <w:rFonts w:eastAsia="Times New Roman" w:cs="Times New Roman"/>
          <w:szCs w:val="20"/>
        </w:rPr>
        <w:t>4</w:t>
      </w:r>
    </w:p>
    <w:bookmarkEnd w:id="1"/>
    <w:p w14:paraId="296C45F6" w14:textId="42762885" w:rsidR="00AC00DC" w:rsidRDefault="00105F8C" w:rsidP="006865B9">
      <w:pPr>
        <w:spacing w:after="0" w:line="240" w:lineRule="auto"/>
        <w:ind w:left="5198"/>
        <w:rPr>
          <w:rFonts w:eastAsia="Times New Roman" w:cs="Times New Roman"/>
          <w:szCs w:val="24"/>
        </w:rPr>
      </w:pPr>
      <w:r w:rsidRPr="0063631C">
        <w:rPr>
          <w:rFonts w:eastAsia="Times New Roman" w:cs="Times New Roman"/>
          <w:szCs w:val="24"/>
        </w:rPr>
        <w:t>Procesinio sprendimo kategorij</w:t>
      </w:r>
      <w:r w:rsidR="00B5526C" w:rsidRPr="0063631C">
        <w:rPr>
          <w:rFonts w:eastAsia="Times New Roman" w:cs="Times New Roman"/>
          <w:szCs w:val="24"/>
        </w:rPr>
        <w:t>os</w:t>
      </w:r>
      <w:r w:rsidRPr="0063631C">
        <w:rPr>
          <w:rFonts w:eastAsia="Times New Roman" w:cs="Times New Roman"/>
          <w:szCs w:val="24"/>
        </w:rPr>
        <w:t xml:space="preserve">: </w:t>
      </w:r>
      <w:r w:rsidR="00B5468D" w:rsidRPr="0063631C">
        <w:rPr>
          <w:rFonts w:eastAsia="Times New Roman" w:cs="Times New Roman"/>
          <w:szCs w:val="24"/>
        </w:rPr>
        <w:t>3.3.1.19.4</w:t>
      </w:r>
      <w:r w:rsidR="00D37E86">
        <w:rPr>
          <w:rFonts w:eastAsia="Times New Roman" w:cs="Times New Roman"/>
          <w:szCs w:val="24"/>
        </w:rPr>
        <w:t>;</w:t>
      </w:r>
      <w:r w:rsidR="004839FC" w:rsidRPr="0063631C">
        <w:rPr>
          <w:rFonts w:eastAsia="Times New Roman" w:cs="Times New Roman"/>
          <w:szCs w:val="24"/>
        </w:rPr>
        <w:t xml:space="preserve"> 2.6.38</w:t>
      </w:r>
    </w:p>
    <w:p w14:paraId="5E2A64ED" w14:textId="268799D9" w:rsidR="002563ED" w:rsidRPr="0063631C" w:rsidRDefault="002563ED" w:rsidP="006865B9">
      <w:pPr>
        <w:spacing w:after="0" w:line="240" w:lineRule="auto"/>
        <w:ind w:left="5198"/>
        <w:rPr>
          <w:rFonts w:eastAsia="Times New Roman" w:cs="Times New Roman"/>
          <w:szCs w:val="24"/>
        </w:rPr>
      </w:pPr>
      <w:r>
        <w:rPr>
          <w:rFonts w:eastAsia="Times New Roman" w:cs="Times New Roman"/>
          <w:szCs w:val="24"/>
        </w:rPr>
        <w:t>(S)</w:t>
      </w:r>
    </w:p>
    <w:p w14:paraId="39C4B0D4" w14:textId="77777777" w:rsidR="00AC00DC" w:rsidRPr="0013069A" w:rsidRDefault="00AC00DC" w:rsidP="00AC00DC">
      <w:pPr>
        <w:spacing w:after="0" w:line="240" w:lineRule="auto"/>
        <w:ind w:left="357" w:hanging="357"/>
        <w:jc w:val="right"/>
        <w:rPr>
          <w:rFonts w:eastAsia="Times New Roman" w:cs="Times New Roman"/>
          <w:szCs w:val="24"/>
        </w:rPr>
      </w:pPr>
    </w:p>
    <w:p w14:paraId="49C09346"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noProof/>
          <w:szCs w:val="24"/>
          <w:lang w:val="en-US"/>
        </w:rPr>
        <w:drawing>
          <wp:inline distT="0" distB="0" distL="0" distR="0" wp14:anchorId="591FB3C2" wp14:editId="30400719">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7BDED199" w14:textId="77777777" w:rsidR="00AC00DC" w:rsidRPr="0013069A" w:rsidRDefault="00AC00DC" w:rsidP="00AC00DC">
      <w:pPr>
        <w:spacing w:after="0" w:line="240" w:lineRule="auto"/>
        <w:ind w:left="357" w:hanging="357"/>
        <w:jc w:val="center"/>
        <w:rPr>
          <w:rFonts w:eastAsia="Times New Roman" w:cs="Times New Roman"/>
          <w:szCs w:val="24"/>
        </w:rPr>
      </w:pPr>
    </w:p>
    <w:p w14:paraId="2E1BCD60"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 xml:space="preserve">LIETUVOS AUKŠČIAUSIASIS TEISMAS </w:t>
      </w:r>
    </w:p>
    <w:p w14:paraId="7BA299D6" w14:textId="77777777" w:rsidR="00AC00DC" w:rsidRPr="0013069A" w:rsidRDefault="00AC00DC" w:rsidP="00AC00DC">
      <w:pPr>
        <w:keepNext/>
        <w:spacing w:after="0" w:line="240" w:lineRule="auto"/>
        <w:ind w:left="357" w:hanging="357"/>
        <w:jc w:val="both"/>
        <w:outlineLvl w:val="0"/>
        <w:rPr>
          <w:rFonts w:eastAsia="Times New Roman" w:cs="Times New Roman"/>
          <w:b/>
          <w:bCs/>
          <w:szCs w:val="24"/>
        </w:rPr>
      </w:pPr>
    </w:p>
    <w:p w14:paraId="27F4AF43"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N U T A R T I S</w:t>
      </w:r>
    </w:p>
    <w:p w14:paraId="70F47561" w14:textId="77777777" w:rsidR="00AC00DC" w:rsidRPr="0013069A" w:rsidRDefault="00AC00DC" w:rsidP="00AC00DC">
      <w:pPr>
        <w:keepNext/>
        <w:spacing w:after="0" w:line="240" w:lineRule="auto"/>
        <w:ind w:left="357" w:hanging="357"/>
        <w:jc w:val="center"/>
        <w:outlineLvl w:val="1"/>
        <w:rPr>
          <w:rFonts w:eastAsia="Times New Roman" w:cs="Times New Roman"/>
          <w:sz w:val="28"/>
          <w:szCs w:val="24"/>
        </w:rPr>
      </w:pPr>
      <w:r w:rsidRPr="0013069A">
        <w:rPr>
          <w:rFonts w:eastAsia="Times New Roman" w:cs="Times New Roman"/>
          <w:szCs w:val="24"/>
        </w:rPr>
        <w:t>LIETUVOS RESPUBLIKOS VARDU</w:t>
      </w:r>
    </w:p>
    <w:p w14:paraId="6D47F47C" w14:textId="77777777" w:rsidR="00AC00DC" w:rsidRPr="0013069A" w:rsidRDefault="00AC00DC" w:rsidP="00AC00DC">
      <w:pPr>
        <w:spacing w:after="0" w:line="240" w:lineRule="auto"/>
        <w:ind w:left="357" w:hanging="357"/>
        <w:jc w:val="both"/>
        <w:rPr>
          <w:rFonts w:eastAsia="Times New Roman" w:cs="Times New Roman"/>
          <w:szCs w:val="24"/>
        </w:rPr>
      </w:pPr>
    </w:p>
    <w:p w14:paraId="7C7B28C3" w14:textId="0D346686" w:rsidR="00AC00DC" w:rsidRPr="0013069A" w:rsidRDefault="00AC00DC" w:rsidP="00AC00DC">
      <w:pPr>
        <w:keepNext/>
        <w:spacing w:after="0" w:line="240" w:lineRule="auto"/>
        <w:ind w:left="357" w:hanging="357"/>
        <w:jc w:val="center"/>
        <w:outlineLvl w:val="0"/>
        <w:rPr>
          <w:rFonts w:eastAsia="Times New Roman" w:cs="Times New Roman"/>
          <w:bCs/>
          <w:szCs w:val="24"/>
        </w:rPr>
      </w:pPr>
      <w:r w:rsidRPr="0013069A">
        <w:rPr>
          <w:rFonts w:eastAsia="Times New Roman" w:cs="Times New Roman"/>
          <w:bCs/>
          <w:szCs w:val="24"/>
        </w:rPr>
        <w:t>20</w:t>
      </w:r>
      <w:r w:rsidR="00733894" w:rsidRPr="0013069A">
        <w:rPr>
          <w:rFonts w:eastAsia="Times New Roman" w:cs="Times New Roman"/>
          <w:bCs/>
          <w:szCs w:val="24"/>
        </w:rPr>
        <w:t>2</w:t>
      </w:r>
      <w:r w:rsidR="00496112" w:rsidRPr="0013069A">
        <w:rPr>
          <w:rFonts w:eastAsia="Times New Roman" w:cs="Times New Roman"/>
          <w:bCs/>
          <w:szCs w:val="24"/>
        </w:rPr>
        <w:t>3</w:t>
      </w:r>
      <w:r w:rsidRPr="0013069A">
        <w:rPr>
          <w:rFonts w:eastAsia="Times New Roman" w:cs="Times New Roman"/>
          <w:bCs/>
          <w:szCs w:val="24"/>
        </w:rPr>
        <w:t xml:space="preserve"> m.</w:t>
      </w:r>
      <w:r w:rsidR="006C0045">
        <w:rPr>
          <w:rFonts w:eastAsia="Times New Roman" w:cs="Times New Roman"/>
          <w:bCs/>
          <w:szCs w:val="24"/>
        </w:rPr>
        <w:t xml:space="preserve"> </w:t>
      </w:r>
      <w:r w:rsidR="00A0201B">
        <w:rPr>
          <w:rFonts w:eastAsia="Times New Roman" w:cs="Times New Roman"/>
          <w:bCs/>
          <w:szCs w:val="24"/>
        </w:rPr>
        <w:t>rug</w:t>
      </w:r>
      <w:r w:rsidR="00D26260">
        <w:rPr>
          <w:rFonts w:eastAsia="Times New Roman" w:cs="Times New Roman"/>
          <w:bCs/>
          <w:szCs w:val="24"/>
        </w:rPr>
        <w:t>sėjo</w:t>
      </w:r>
      <w:r w:rsidR="006C0045">
        <w:rPr>
          <w:rFonts w:eastAsia="Times New Roman" w:cs="Times New Roman"/>
          <w:bCs/>
          <w:szCs w:val="24"/>
        </w:rPr>
        <w:t xml:space="preserve"> </w:t>
      </w:r>
      <w:r w:rsidR="00D26260">
        <w:rPr>
          <w:rFonts w:eastAsia="Times New Roman" w:cs="Times New Roman"/>
          <w:bCs/>
          <w:szCs w:val="24"/>
        </w:rPr>
        <w:t>28</w:t>
      </w:r>
      <w:r w:rsidR="006C0045">
        <w:rPr>
          <w:rFonts w:eastAsia="Times New Roman" w:cs="Times New Roman"/>
          <w:bCs/>
          <w:szCs w:val="24"/>
        </w:rPr>
        <w:t xml:space="preserve"> </w:t>
      </w:r>
      <w:r w:rsidRPr="0013069A">
        <w:rPr>
          <w:rFonts w:eastAsia="Times New Roman" w:cs="Times New Roman"/>
          <w:bCs/>
          <w:szCs w:val="24"/>
        </w:rPr>
        <w:t>d.</w:t>
      </w:r>
    </w:p>
    <w:p w14:paraId="1BD7BA73"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szCs w:val="24"/>
        </w:rPr>
        <w:t>Vilnius</w:t>
      </w:r>
    </w:p>
    <w:p w14:paraId="3E18A020" w14:textId="77777777" w:rsidR="00AC00DC" w:rsidRPr="0013069A" w:rsidRDefault="00AC00DC" w:rsidP="00AC00DC">
      <w:pPr>
        <w:spacing w:after="0" w:line="240" w:lineRule="auto"/>
        <w:ind w:left="357" w:hanging="357"/>
        <w:jc w:val="both"/>
        <w:rPr>
          <w:rFonts w:eastAsia="Times New Roman" w:cs="Times New Roman"/>
          <w:szCs w:val="24"/>
        </w:rPr>
      </w:pPr>
    </w:p>
    <w:p w14:paraId="51C3B701" w14:textId="2E4DD1BC" w:rsidR="00AC00DC" w:rsidRPr="0013069A" w:rsidRDefault="00AC00DC" w:rsidP="00B963DF">
      <w:pPr>
        <w:tabs>
          <w:tab w:val="left" w:pos="709"/>
        </w:tabs>
        <w:spacing w:after="0" w:line="240" w:lineRule="auto"/>
        <w:ind w:firstLine="720"/>
        <w:jc w:val="both"/>
        <w:rPr>
          <w:rFonts w:eastAsia="Times New Roman" w:cs="Times New Roman"/>
          <w:szCs w:val="24"/>
        </w:rPr>
      </w:pPr>
      <w:bookmarkStart w:id="2" w:name="_Hlk59444021"/>
      <w:r w:rsidRPr="0013069A">
        <w:rPr>
          <w:rFonts w:eastAsia="Times New Roman" w:cs="Times New Roman"/>
          <w:szCs w:val="24"/>
        </w:rPr>
        <w:t>Lietuvos Aukščiausiojo Teismo Civilinių bylų skyriaus teisėjų kolegija, susidedanti iš teisėjų</w:t>
      </w:r>
      <w:r w:rsidR="009D088D">
        <w:rPr>
          <w:rFonts w:eastAsia="Times New Roman" w:cs="Times New Roman"/>
          <w:szCs w:val="24"/>
        </w:rPr>
        <w:t xml:space="preserve"> </w:t>
      </w:r>
      <w:r w:rsidR="00184D59">
        <w:rPr>
          <w:rFonts w:eastAsia="Times New Roman" w:cs="Times New Roman"/>
          <w:szCs w:val="24"/>
        </w:rPr>
        <w:t xml:space="preserve">Artūro </w:t>
      </w:r>
      <w:proofErr w:type="spellStart"/>
      <w:r w:rsidR="00184D59">
        <w:rPr>
          <w:rFonts w:eastAsia="Times New Roman" w:cs="Times New Roman"/>
          <w:szCs w:val="24"/>
        </w:rPr>
        <w:t>Driuko</w:t>
      </w:r>
      <w:proofErr w:type="spellEnd"/>
      <w:r w:rsidR="006C0045">
        <w:rPr>
          <w:rFonts w:eastAsia="Times New Roman" w:cs="Times New Roman"/>
          <w:szCs w:val="24"/>
        </w:rPr>
        <w:t xml:space="preserve"> </w:t>
      </w:r>
      <w:r w:rsidR="00B70ECD" w:rsidRPr="0013069A">
        <w:rPr>
          <w:rFonts w:eastAsia="Times New Roman" w:cs="Times New Roman"/>
          <w:szCs w:val="24"/>
        </w:rPr>
        <w:t>(kolegijos pirminink</w:t>
      </w:r>
      <w:r w:rsidR="00184D59">
        <w:rPr>
          <w:rFonts w:eastAsia="Times New Roman" w:cs="Times New Roman"/>
          <w:szCs w:val="24"/>
        </w:rPr>
        <w:t>as</w:t>
      </w:r>
      <w:r w:rsidR="00AA3085">
        <w:rPr>
          <w:rFonts w:eastAsia="Times New Roman" w:cs="Times New Roman"/>
          <w:szCs w:val="24"/>
        </w:rPr>
        <w:t xml:space="preserve">), </w:t>
      </w:r>
      <w:r w:rsidR="00B963DF">
        <w:rPr>
          <w:rFonts w:eastAsia="Times New Roman" w:cs="Times New Roman"/>
          <w:szCs w:val="24"/>
        </w:rPr>
        <w:t xml:space="preserve">Virgilijaus </w:t>
      </w:r>
      <w:proofErr w:type="spellStart"/>
      <w:r w:rsidR="00B963DF">
        <w:rPr>
          <w:rFonts w:eastAsia="Times New Roman" w:cs="Times New Roman"/>
          <w:szCs w:val="24"/>
        </w:rPr>
        <w:t>Grabinsko</w:t>
      </w:r>
      <w:proofErr w:type="spellEnd"/>
      <w:r w:rsidR="00B963DF">
        <w:rPr>
          <w:rFonts w:eastAsia="Times New Roman" w:cs="Times New Roman"/>
          <w:szCs w:val="24"/>
        </w:rPr>
        <w:t xml:space="preserve"> (pranešėjas) ir </w:t>
      </w:r>
      <w:r w:rsidR="00184D59">
        <w:rPr>
          <w:rFonts w:eastAsia="Times New Roman" w:cs="Times New Roman"/>
          <w:szCs w:val="24"/>
        </w:rPr>
        <w:t xml:space="preserve">Agnės </w:t>
      </w:r>
      <w:proofErr w:type="spellStart"/>
      <w:r w:rsidR="00184D59">
        <w:rPr>
          <w:rFonts w:eastAsia="Times New Roman" w:cs="Times New Roman"/>
          <w:szCs w:val="24"/>
        </w:rPr>
        <w:t>Tikniūtės</w:t>
      </w:r>
      <w:proofErr w:type="spellEnd"/>
      <w:r w:rsidR="00B70ECD" w:rsidRPr="0013069A">
        <w:rPr>
          <w:rFonts w:eastAsia="Times New Roman" w:cs="Times New Roman"/>
          <w:szCs w:val="24"/>
        </w:rPr>
        <w:t>,</w:t>
      </w:r>
    </w:p>
    <w:p w14:paraId="5C5070DC" w14:textId="25D125B3" w:rsidR="00AC00DC" w:rsidRPr="0013069A" w:rsidRDefault="00AC00DC" w:rsidP="00B963DF">
      <w:pPr>
        <w:spacing w:after="0" w:line="240" w:lineRule="auto"/>
        <w:ind w:firstLine="720"/>
        <w:jc w:val="both"/>
        <w:rPr>
          <w:rFonts w:eastAsia="Times New Roman" w:cs="Times New Roman"/>
          <w:b/>
          <w:szCs w:val="24"/>
        </w:rPr>
      </w:pPr>
      <w:bookmarkStart w:id="3" w:name="_Hlk59444146"/>
      <w:bookmarkEnd w:id="2"/>
      <w:r w:rsidRPr="00F90900">
        <w:rPr>
          <w:rFonts w:eastAsia="Times New Roman"/>
          <w:szCs w:val="24"/>
        </w:rPr>
        <w:t>teismo posėdyje kasacine rašytinio proceso tvarka išnagrinėjo civilinę bylą paga</w:t>
      </w:r>
      <w:r w:rsidR="00BA2521" w:rsidRPr="00F90900">
        <w:t>l</w:t>
      </w:r>
      <w:r w:rsidR="009D088D">
        <w:t xml:space="preserve"> </w:t>
      </w:r>
      <w:r w:rsidR="00A0201B" w:rsidRPr="00F90900">
        <w:rPr>
          <w:b/>
          <w:bCs/>
        </w:rPr>
        <w:t>atsakovės</w:t>
      </w:r>
      <w:bookmarkStart w:id="4" w:name="_Hlk133513520"/>
      <w:r w:rsidR="009D088D">
        <w:rPr>
          <w:b/>
          <w:bCs/>
        </w:rPr>
        <w:t xml:space="preserve"> </w:t>
      </w:r>
      <w:r w:rsidR="003F5288" w:rsidRPr="00F90900">
        <w:rPr>
          <w:b/>
          <w:bCs/>
        </w:rPr>
        <w:t>uždarosios akcinės bendrovės</w:t>
      </w:r>
      <w:r w:rsidR="00AA3085" w:rsidRPr="00F90900">
        <w:rPr>
          <w:b/>
          <w:bCs/>
        </w:rPr>
        <w:t xml:space="preserve"> „</w:t>
      </w:r>
      <w:proofErr w:type="spellStart"/>
      <w:r w:rsidR="00A0201B" w:rsidRPr="00F90900">
        <w:rPr>
          <w:b/>
          <w:bCs/>
        </w:rPr>
        <w:t>Berlin</w:t>
      </w:r>
      <w:proofErr w:type="spellEnd"/>
      <w:r w:rsidR="00460311">
        <w:rPr>
          <w:b/>
          <w:bCs/>
        </w:rPr>
        <w:t xml:space="preserve"> </w:t>
      </w:r>
      <w:proofErr w:type="spellStart"/>
      <w:r w:rsidR="00A0201B" w:rsidRPr="00F90900">
        <w:rPr>
          <w:b/>
          <w:bCs/>
        </w:rPr>
        <w:t>Chemie</w:t>
      </w:r>
      <w:proofErr w:type="spellEnd"/>
      <w:r w:rsidR="00A0201B" w:rsidRPr="00F90900">
        <w:rPr>
          <w:b/>
          <w:bCs/>
        </w:rPr>
        <w:t xml:space="preserve"> Menarini Baltic</w:t>
      </w:r>
      <w:r w:rsidR="00AA3085" w:rsidRPr="00F90900">
        <w:rPr>
          <w:b/>
          <w:bCs/>
        </w:rPr>
        <w:t>“</w:t>
      </w:r>
      <w:bookmarkEnd w:id="4"/>
      <w:r w:rsidR="009D088D">
        <w:rPr>
          <w:b/>
          <w:bCs/>
        </w:rPr>
        <w:t xml:space="preserve"> </w:t>
      </w:r>
      <w:r w:rsidR="00AA3085" w:rsidRPr="00F90900">
        <w:t xml:space="preserve">kasacinį skundą dėl </w:t>
      </w:r>
      <w:r w:rsidR="00A0201B" w:rsidRPr="00F90900">
        <w:t>Lietuvos apeliacinio</w:t>
      </w:r>
      <w:r w:rsidR="00AA3085" w:rsidRPr="00F90900">
        <w:t xml:space="preserve"> teismo Civilinių bylų skyriaus teisėjų kolegijos 202</w:t>
      </w:r>
      <w:r w:rsidR="00A0201B" w:rsidRPr="00F90900">
        <w:t>3 m. vasario 7 d.</w:t>
      </w:r>
      <w:r w:rsidR="00AA3085" w:rsidRPr="00F90900">
        <w:t xml:space="preserve"> nutarties peržiūrėjimo</w:t>
      </w:r>
      <w:bookmarkStart w:id="5" w:name="_Hlk124760356"/>
      <w:bookmarkStart w:id="6" w:name="_Hlk117588092"/>
      <w:bookmarkStart w:id="7" w:name="_Hlk123815348"/>
      <w:r w:rsidR="009D088D">
        <w:t xml:space="preserve"> </w:t>
      </w:r>
      <w:r w:rsidRPr="00F90900">
        <w:rPr>
          <w:rFonts w:eastAsia="Times New Roman"/>
          <w:bCs/>
          <w:szCs w:val="24"/>
        </w:rPr>
        <w:t xml:space="preserve">civilinėje </w:t>
      </w:r>
      <w:bookmarkEnd w:id="5"/>
      <w:r w:rsidRPr="00F90900">
        <w:rPr>
          <w:rFonts w:eastAsia="Times New Roman"/>
          <w:bCs/>
          <w:szCs w:val="24"/>
        </w:rPr>
        <w:t>byloje</w:t>
      </w:r>
      <w:bookmarkEnd w:id="6"/>
      <w:r w:rsidR="009D088D">
        <w:rPr>
          <w:rFonts w:eastAsia="Times New Roman"/>
          <w:bCs/>
          <w:szCs w:val="24"/>
        </w:rPr>
        <w:t xml:space="preserve"> </w:t>
      </w:r>
      <w:r w:rsidR="00AA3085" w:rsidRPr="00F90900">
        <w:rPr>
          <w:rFonts w:eastAsia="Times New Roman"/>
          <w:bCs/>
          <w:szCs w:val="24"/>
        </w:rPr>
        <w:t>pagal ieškovės</w:t>
      </w:r>
      <w:r w:rsidR="009D088D">
        <w:rPr>
          <w:rFonts w:eastAsia="Times New Roman"/>
          <w:bCs/>
          <w:szCs w:val="24"/>
        </w:rPr>
        <w:t xml:space="preserve"> </w:t>
      </w:r>
      <w:r w:rsidR="00A0201B" w:rsidRPr="00F90900">
        <w:rPr>
          <w:rFonts w:eastAsia="Times New Roman"/>
          <w:bCs/>
          <w:szCs w:val="24"/>
        </w:rPr>
        <w:t xml:space="preserve">Valstybinės ligonių kasos prie </w:t>
      </w:r>
      <w:r w:rsidR="00F90900">
        <w:rPr>
          <w:rFonts w:eastAsia="Times New Roman"/>
          <w:bCs/>
          <w:szCs w:val="24"/>
        </w:rPr>
        <w:t>S</w:t>
      </w:r>
      <w:r w:rsidR="00A0201B" w:rsidRPr="00F90900">
        <w:rPr>
          <w:rFonts w:eastAsia="Times New Roman"/>
          <w:bCs/>
          <w:szCs w:val="24"/>
        </w:rPr>
        <w:t>veikatos apsaugos ministerijos</w:t>
      </w:r>
      <w:r w:rsidR="00AA3085" w:rsidRPr="00F90900">
        <w:rPr>
          <w:rFonts w:eastAsia="Times New Roman"/>
          <w:bCs/>
          <w:szCs w:val="24"/>
        </w:rPr>
        <w:t xml:space="preserve"> ieškinį </w:t>
      </w:r>
      <w:r w:rsidR="003F5288" w:rsidRPr="00F90900">
        <w:rPr>
          <w:rFonts w:eastAsia="Times New Roman"/>
          <w:bCs/>
          <w:szCs w:val="24"/>
        </w:rPr>
        <w:t xml:space="preserve">atsakovei </w:t>
      </w:r>
      <w:r w:rsidR="00AA3085" w:rsidRPr="00F90900">
        <w:rPr>
          <w:rFonts w:eastAsia="Times New Roman"/>
          <w:bCs/>
          <w:szCs w:val="24"/>
        </w:rPr>
        <w:t xml:space="preserve">dėl </w:t>
      </w:r>
      <w:bookmarkEnd w:id="7"/>
      <w:r w:rsidR="00A0201B" w:rsidRPr="00F90900">
        <w:rPr>
          <w:rFonts w:eastAsia="Times New Roman"/>
          <w:bCs/>
          <w:szCs w:val="24"/>
        </w:rPr>
        <w:t>įpareigojimo pasirašyti sutartį</w:t>
      </w:r>
      <w:bookmarkEnd w:id="3"/>
      <w:r w:rsidR="003F5288" w:rsidRPr="00F90900">
        <w:rPr>
          <w:rFonts w:eastAsia="Times New Roman"/>
          <w:bCs/>
          <w:szCs w:val="24"/>
        </w:rPr>
        <w:t xml:space="preserve"> ir </w:t>
      </w:r>
      <w:r w:rsidR="00FC5E52">
        <w:rPr>
          <w:rFonts w:eastAsia="Times New Roman"/>
          <w:bCs/>
          <w:szCs w:val="24"/>
        </w:rPr>
        <w:t>lėšų</w:t>
      </w:r>
      <w:r w:rsidR="003F5288" w:rsidRPr="00F90900">
        <w:rPr>
          <w:rFonts w:eastAsia="Times New Roman"/>
          <w:bCs/>
          <w:szCs w:val="24"/>
        </w:rPr>
        <w:t xml:space="preserve"> grąžinimo, trečiasis asmuo</w:t>
      </w:r>
      <w:r w:rsidR="00F90900" w:rsidRPr="00F90900">
        <w:rPr>
          <w:rFonts w:eastAsia="Times New Roman"/>
          <w:bCs/>
          <w:szCs w:val="24"/>
        </w:rPr>
        <w:t>,</w:t>
      </w:r>
      <w:r w:rsidR="003F5288" w:rsidRPr="00F90900">
        <w:rPr>
          <w:rFonts w:eastAsia="Times New Roman"/>
          <w:bCs/>
          <w:szCs w:val="24"/>
        </w:rPr>
        <w:t xml:space="preserve"> nepareiškiantis savarankiškų reikalavimų</w:t>
      </w:r>
      <w:r w:rsidR="00F90900" w:rsidRPr="00F90900">
        <w:rPr>
          <w:rFonts w:eastAsia="Times New Roman"/>
          <w:bCs/>
          <w:szCs w:val="24"/>
        </w:rPr>
        <w:t>,</w:t>
      </w:r>
      <w:r w:rsidR="003F5288" w:rsidRPr="00F90900">
        <w:rPr>
          <w:rFonts w:eastAsia="Times New Roman"/>
          <w:bCs/>
          <w:szCs w:val="24"/>
        </w:rPr>
        <w:t xml:space="preserve"> Lietuvos Respublikos sveikatos apsaugos ministerija.</w:t>
      </w:r>
    </w:p>
    <w:bookmarkEnd w:id="0"/>
    <w:p w14:paraId="15069D6A" w14:textId="77777777" w:rsidR="00AC00DC" w:rsidRPr="0013069A" w:rsidRDefault="00AC00DC" w:rsidP="00B963DF">
      <w:pPr>
        <w:spacing w:after="0" w:line="240" w:lineRule="auto"/>
        <w:ind w:firstLine="720"/>
        <w:jc w:val="both"/>
        <w:rPr>
          <w:rFonts w:eastAsia="Times New Roman" w:cs="Times New Roman"/>
          <w:szCs w:val="24"/>
          <w:lang w:eastAsia="lt-LT"/>
        </w:rPr>
      </w:pPr>
    </w:p>
    <w:p w14:paraId="39D197CB" w14:textId="77777777" w:rsidR="00AC00DC" w:rsidRPr="0013069A" w:rsidRDefault="00AC00DC" w:rsidP="00B963DF">
      <w:pPr>
        <w:spacing w:after="0" w:line="240" w:lineRule="auto"/>
        <w:ind w:firstLine="709"/>
        <w:jc w:val="both"/>
        <w:rPr>
          <w:rFonts w:eastAsia="Times New Roman" w:cs="Times New Roman"/>
          <w:b/>
          <w:bCs/>
          <w:szCs w:val="24"/>
          <w:lang w:eastAsia="lt-LT"/>
        </w:rPr>
      </w:pPr>
      <w:r w:rsidRPr="0013069A">
        <w:rPr>
          <w:rFonts w:eastAsia="Times New Roman" w:cs="Times New Roman"/>
          <w:szCs w:val="24"/>
          <w:lang w:eastAsia="lt-LT"/>
        </w:rPr>
        <w:t xml:space="preserve">Teisėjų kolegija </w:t>
      </w:r>
    </w:p>
    <w:p w14:paraId="38B907A3" w14:textId="77777777" w:rsidR="00AC00DC" w:rsidRPr="0013069A" w:rsidRDefault="00AC00DC" w:rsidP="00B963DF">
      <w:pPr>
        <w:spacing w:after="0" w:line="240" w:lineRule="auto"/>
        <w:ind w:firstLine="720"/>
        <w:jc w:val="both"/>
        <w:rPr>
          <w:rFonts w:eastAsia="Times New Roman" w:cs="Times New Roman"/>
          <w:b/>
          <w:bCs/>
          <w:szCs w:val="24"/>
          <w:lang w:eastAsia="lt-LT"/>
        </w:rPr>
      </w:pPr>
    </w:p>
    <w:p w14:paraId="2D66B73B" w14:textId="77777777" w:rsidR="00AC00DC" w:rsidRPr="0013069A" w:rsidRDefault="00AC00DC" w:rsidP="00B963DF">
      <w:pPr>
        <w:spacing w:after="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n u s t a t ė :</w:t>
      </w:r>
    </w:p>
    <w:p w14:paraId="5890230E" w14:textId="77777777" w:rsidR="00AC00DC" w:rsidRPr="0013069A" w:rsidRDefault="00AC00DC" w:rsidP="00B963DF">
      <w:pPr>
        <w:spacing w:after="0" w:line="240" w:lineRule="auto"/>
        <w:ind w:left="726" w:hanging="6"/>
        <w:jc w:val="both"/>
        <w:rPr>
          <w:rFonts w:eastAsia="Times New Roman" w:cs="Times New Roman"/>
          <w:szCs w:val="24"/>
          <w:lang w:eastAsia="lt-LT"/>
        </w:rPr>
      </w:pPr>
    </w:p>
    <w:p w14:paraId="2C9DBB03" w14:textId="77777777" w:rsidR="00AC00DC" w:rsidRPr="0013069A" w:rsidRDefault="00AC00DC" w:rsidP="00B963DF">
      <w:pPr>
        <w:spacing w:after="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 Ginčo esmė</w:t>
      </w:r>
    </w:p>
    <w:p w14:paraId="3A1C1D49" w14:textId="77777777" w:rsidR="00AC00DC" w:rsidRPr="0013069A" w:rsidRDefault="00AC00DC" w:rsidP="00B963DF">
      <w:pPr>
        <w:spacing w:after="0" w:line="240" w:lineRule="auto"/>
        <w:ind w:firstLine="720"/>
        <w:jc w:val="both"/>
        <w:rPr>
          <w:rFonts w:eastAsia="Times New Roman" w:cs="Times New Roman"/>
          <w:szCs w:val="24"/>
          <w:lang w:eastAsia="lt-LT"/>
        </w:rPr>
      </w:pPr>
    </w:p>
    <w:p w14:paraId="639C4006" w14:textId="3EA02D02" w:rsidR="00AC00DC" w:rsidRPr="00203E2A" w:rsidRDefault="00AC00DC"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6865B9">
        <w:rPr>
          <w:rFonts w:eastAsia="Times New Roman" w:cs="Times New Roman"/>
          <w:bCs/>
          <w:szCs w:val="24"/>
          <w:lang w:eastAsia="lt-LT" w:bidi="lt-LT"/>
        </w:rPr>
        <w:t>Kasacinėje byloje sprendžiama dėl</w:t>
      </w:r>
      <w:r w:rsidR="00480335">
        <w:rPr>
          <w:rFonts w:eastAsia="Times New Roman" w:cs="Times New Roman"/>
          <w:bCs/>
          <w:szCs w:val="24"/>
          <w:lang w:eastAsia="lt-LT" w:bidi="lt-LT"/>
        </w:rPr>
        <w:t xml:space="preserve"> </w:t>
      </w:r>
      <w:r w:rsidR="00495D97" w:rsidRPr="006865B9">
        <w:rPr>
          <w:rFonts w:eastAsia="Times New Roman" w:cs="Times New Roman"/>
          <w:bCs/>
          <w:szCs w:val="24"/>
          <w:lang w:eastAsia="lt-LT" w:bidi="lt-LT"/>
        </w:rPr>
        <w:t>teisės normų</w:t>
      </w:r>
      <w:r w:rsidR="00495D97" w:rsidRPr="00203E2A">
        <w:rPr>
          <w:rFonts w:eastAsia="Times New Roman" w:cs="Times New Roman"/>
          <w:bCs/>
          <w:szCs w:val="24"/>
          <w:lang w:eastAsia="lt-LT" w:bidi="lt-LT"/>
        </w:rPr>
        <w:t>, reglamentuojančių</w:t>
      </w:r>
      <w:r w:rsidR="00E65CAD" w:rsidRPr="00203E2A">
        <w:rPr>
          <w:rFonts w:eastAsia="Times New Roman" w:cs="Times New Roman"/>
          <w:bCs/>
          <w:szCs w:val="24"/>
          <w:lang w:eastAsia="lt-LT" w:bidi="lt-LT"/>
        </w:rPr>
        <w:t xml:space="preserve"> </w:t>
      </w:r>
      <w:r w:rsidR="00097545" w:rsidRPr="00203E2A">
        <w:rPr>
          <w:rFonts w:eastAsia="Times New Roman" w:cs="Times New Roman"/>
          <w:bCs/>
          <w:szCs w:val="24"/>
          <w:lang w:eastAsia="lt-LT" w:bidi="lt-LT"/>
        </w:rPr>
        <w:t>apeliacinės instancijos</w:t>
      </w:r>
      <w:r w:rsidR="00480335" w:rsidRPr="00203E2A">
        <w:rPr>
          <w:rFonts w:eastAsia="Times New Roman" w:cs="Times New Roman"/>
          <w:bCs/>
          <w:szCs w:val="24"/>
          <w:lang w:eastAsia="lt-LT" w:bidi="lt-LT"/>
        </w:rPr>
        <w:t xml:space="preserve"> teismo </w:t>
      </w:r>
      <w:r w:rsidR="00097545" w:rsidRPr="00203E2A">
        <w:rPr>
          <w:rFonts w:eastAsia="Times New Roman" w:cs="Times New Roman"/>
          <w:bCs/>
          <w:szCs w:val="24"/>
          <w:lang w:eastAsia="lt-LT" w:bidi="lt-LT"/>
        </w:rPr>
        <w:t>pareigą motyvuoti nutartį</w:t>
      </w:r>
      <w:r w:rsidR="00480335" w:rsidRPr="00203E2A">
        <w:rPr>
          <w:rFonts w:eastAsia="Times New Roman" w:cs="Times New Roman"/>
          <w:bCs/>
          <w:szCs w:val="24"/>
          <w:lang w:eastAsia="lt-LT" w:bidi="lt-LT"/>
        </w:rPr>
        <w:t xml:space="preserve"> ir</w:t>
      </w:r>
      <w:r w:rsidR="00E012CF" w:rsidRPr="00203E2A">
        <w:rPr>
          <w:rFonts w:eastAsia="Times New Roman" w:cs="Times New Roman"/>
          <w:bCs/>
          <w:szCs w:val="24"/>
          <w:lang w:eastAsia="lt-LT" w:bidi="lt-LT"/>
        </w:rPr>
        <w:t xml:space="preserve"> teismo nutartimi patvirtintos taikos sutarties </w:t>
      </w:r>
      <w:r w:rsidR="009E420E">
        <w:rPr>
          <w:rFonts w:eastAsia="Times New Roman" w:cs="Times New Roman"/>
          <w:bCs/>
          <w:szCs w:val="24"/>
          <w:lang w:eastAsia="lt-LT" w:bidi="lt-LT"/>
        </w:rPr>
        <w:t>taikymo rib</w:t>
      </w:r>
      <w:r w:rsidR="00E231CD">
        <w:rPr>
          <w:rFonts w:eastAsia="Times New Roman" w:cs="Times New Roman"/>
          <w:bCs/>
          <w:szCs w:val="24"/>
          <w:lang w:eastAsia="lt-LT" w:bidi="lt-LT"/>
        </w:rPr>
        <w:t>as</w:t>
      </w:r>
      <w:r w:rsidR="00495D97" w:rsidRPr="00203E2A">
        <w:rPr>
          <w:rFonts w:eastAsia="Times New Roman" w:cs="Times New Roman"/>
          <w:bCs/>
          <w:szCs w:val="24"/>
          <w:lang w:eastAsia="lt-LT" w:bidi="lt-LT"/>
        </w:rPr>
        <w:t>, aiškinimo ir taikymo.</w:t>
      </w:r>
    </w:p>
    <w:p w14:paraId="7C512375" w14:textId="7E59B710" w:rsidR="008314EE" w:rsidRPr="006E138E" w:rsidRDefault="008314EE"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35420D">
        <w:rPr>
          <w:rFonts w:eastAsia="Times New Roman" w:cs="Times New Roman"/>
          <w:bCs/>
          <w:szCs w:val="24"/>
          <w:lang w:eastAsia="lt-LT" w:bidi="lt-LT"/>
        </w:rPr>
        <w:t xml:space="preserve">Ieškovė </w:t>
      </w:r>
      <w:r w:rsidR="00F90900" w:rsidRPr="0035420D">
        <w:rPr>
          <w:rFonts w:eastAsia="Times New Roman" w:cs="Times New Roman"/>
          <w:bCs/>
          <w:szCs w:val="24"/>
          <w:lang w:eastAsia="lt-LT" w:bidi="lt-LT"/>
        </w:rPr>
        <w:t>Valstybinė ligonių kasa p</w:t>
      </w:r>
      <w:r w:rsidR="00325FE9">
        <w:rPr>
          <w:rFonts w:eastAsia="Times New Roman" w:cs="Times New Roman"/>
          <w:bCs/>
          <w:szCs w:val="24"/>
          <w:lang w:eastAsia="lt-LT" w:bidi="lt-LT"/>
        </w:rPr>
        <w:t>r</w:t>
      </w:r>
      <w:r w:rsidR="00F90900" w:rsidRPr="0035420D">
        <w:rPr>
          <w:rFonts w:eastAsia="Times New Roman" w:cs="Times New Roman"/>
          <w:bCs/>
          <w:szCs w:val="24"/>
          <w:lang w:eastAsia="lt-LT" w:bidi="lt-LT"/>
        </w:rPr>
        <w:t>ie Sveikatos apsaugos ministerijos</w:t>
      </w:r>
      <w:r w:rsidRPr="0035420D">
        <w:rPr>
          <w:rFonts w:eastAsia="Times New Roman" w:cs="Times New Roman"/>
          <w:bCs/>
          <w:szCs w:val="24"/>
          <w:lang w:eastAsia="lt-LT" w:bidi="lt-LT"/>
        </w:rPr>
        <w:t xml:space="preserve"> (toliau – ir </w:t>
      </w:r>
      <w:r w:rsidR="00F90900" w:rsidRPr="0035420D">
        <w:rPr>
          <w:rFonts w:eastAsia="Times New Roman" w:cs="Times New Roman"/>
          <w:bCs/>
          <w:szCs w:val="24"/>
          <w:lang w:eastAsia="lt-LT" w:bidi="lt-LT"/>
        </w:rPr>
        <w:t>VLK</w:t>
      </w:r>
      <w:r w:rsidRPr="0035420D">
        <w:rPr>
          <w:rFonts w:eastAsia="Times New Roman" w:cs="Times New Roman"/>
          <w:bCs/>
          <w:szCs w:val="24"/>
          <w:lang w:eastAsia="lt-LT" w:bidi="lt-LT"/>
        </w:rPr>
        <w:t xml:space="preserve">) </w:t>
      </w:r>
      <w:r w:rsidR="00B06E94" w:rsidRPr="0035420D">
        <w:rPr>
          <w:rFonts w:eastAsia="Times New Roman" w:cs="Times New Roman"/>
          <w:bCs/>
          <w:szCs w:val="24"/>
          <w:lang w:eastAsia="lt-LT" w:bidi="lt-LT"/>
        </w:rPr>
        <w:t xml:space="preserve">kreipėsi </w:t>
      </w:r>
      <w:r w:rsidR="00CB7175" w:rsidRPr="0035420D">
        <w:rPr>
          <w:rFonts w:eastAsia="Times New Roman" w:cs="Times New Roman"/>
          <w:bCs/>
          <w:szCs w:val="24"/>
          <w:lang w:eastAsia="lt-LT" w:bidi="lt-LT"/>
        </w:rPr>
        <w:t xml:space="preserve">į teismą </w:t>
      </w:r>
      <w:r w:rsidR="00B06E94" w:rsidRPr="0035420D">
        <w:rPr>
          <w:rFonts w:eastAsia="Times New Roman" w:cs="Times New Roman"/>
          <w:bCs/>
          <w:szCs w:val="24"/>
          <w:lang w:eastAsia="lt-LT" w:bidi="lt-LT"/>
        </w:rPr>
        <w:t>su ieškiniu</w:t>
      </w:r>
      <w:r w:rsidR="006C0045">
        <w:rPr>
          <w:rFonts w:eastAsia="Times New Roman" w:cs="Times New Roman"/>
          <w:bCs/>
          <w:szCs w:val="24"/>
          <w:lang w:eastAsia="lt-LT" w:bidi="lt-LT"/>
        </w:rPr>
        <w:t>,</w:t>
      </w:r>
      <w:r w:rsidR="00B06E94" w:rsidRPr="0035420D">
        <w:rPr>
          <w:rFonts w:eastAsia="Times New Roman" w:cs="Times New Roman"/>
          <w:bCs/>
          <w:szCs w:val="24"/>
          <w:lang w:eastAsia="lt-LT" w:bidi="lt-LT"/>
        </w:rPr>
        <w:t xml:space="preserve"> </w:t>
      </w:r>
      <w:r w:rsidR="00CB7175" w:rsidRPr="0035420D">
        <w:rPr>
          <w:rFonts w:eastAsia="Times New Roman" w:cs="Times New Roman"/>
          <w:bCs/>
          <w:szCs w:val="24"/>
          <w:lang w:eastAsia="lt-LT" w:bidi="lt-LT"/>
        </w:rPr>
        <w:t>prašydama</w:t>
      </w:r>
      <w:r w:rsidR="009D088D">
        <w:rPr>
          <w:rFonts w:eastAsia="Times New Roman" w:cs="Times New Roman"/>
          <w:bCs/>
          <w:szCs w:val="24"/>
          <w:lang w:eastAsia="lt-LT" w:bidi="lt-LT"/>
        </w:rPr>
        <w:t xml:space="preserve"> </w:t>
      </w:r>
      <w:r w:rsidR="00F90900" w:rsidRPr="0035420D">
        <w:rPr>
          <w:rFonts w:eastAsia="Times New Roman" w:cs="Times New Roman"/>
          <w:bCs/>
          <w:szCs w:val="24"/>
          <w:lang w:eastAsia="lt-LT" w:bidi="lt-LT"/>
        </w:rPr>
        <w:t>įpareigoti atsakovę UAB ,,</w:t>
      </w:r>
      <w:proofErr w:type="spellStart"/>
      <w:r w:rsidR="00F90900" w:rsidRPr="0035420D">
        <w:rPr>
          <w:rFonts w:eastAsia="Times New Roman" w:cs="Times New Roman"/>
          <w:bCs/>
          <w:szCs w:val="24"/>
          <w:lang w:eastAsia="lt-LT" w:bidi="lt-LT"/>
        </w:rPr>
        <w:t>Berlin</w:t>
      </w:r>
      <w:proofErr w:type="spellEnd"/>
      <w:r w:rsidR="009D088D">
        <w:rPr>
          <w:rFonts w:eastAsia="Times New Roman" w:cs="Times New Roman"/>
          <w:bCs/>
          <w:szCs w:val="24"/>
          <w:lang w:eastAsia="lt-LT" w:bidi="lt-LT"/>
        </w:rPr>
        <w:t xml:space="preserve"> </w:t>
      </w:r>
      <w:proofErr w:type="spellStart"/>
      <w:r w:rsidR="00F90900" w:rsidRPr="0035420D">
        <w:rPr>
          <w:rFonts w:eastAsia="Times New Roman" w:cs="Times New Roman"/>
          <w:bCs/>
          <w:szCs w:val="24"/>
          <w:lang w:eastAsia="lt-LT" w:bidi="lt-LT"/>
        </w:rPr>
        <w:t>Chemie</w:t>
      </w:r>
      <w:proofErr w:type="spellEnd"/>
      <w:r w:rsidR="00F90900" w:rsidRPr="0035420D">
        <w:rPr>
          <w:rFonts w:eastAsia="Times New Roman" w:cs="Times New Roman"/>
          <w:bCs/>
          <w:szCs w:val="24"/>
          <w:lang w:eastAsia="lt-LT" w:bidi="lt-LT"/>
        </w:rPr>
        <w:t xml:space="preserve"> Menarini </w:t>
      </w:r>
      <w:r w:rsidR="00F90900" w:rsidRPr="006E138E">
        <w:rPr>
          <w:rFonts w:eastAsia="Times New Roman" w:cs="Times New Roman"/>
          <w:bCs/>
          <w:szCs w:val="24"/>
          <w:lang w:eastAsia="lt-LT" w:bidi="lt-LT"/>
        </w:rPr>
        <w:t xml:space="preserve">Baltic“ pasirašyti sutartį dėl 2020 metų prognozuojamų </w:t>
      </w:r>
      <w:r w:rsidR="0035420D" w:rsidRPr="006E138E">
        <w:rPr>
          <w:rFonts w:eastAsia="Times New Roman" w:cs="Times New Roman"/>
          <w:bCs/>
          <w:szCs w:val="24"/>
          <w:lang w:eastAsia="lt-LT" w:bidi="lt-LT"/>
        </w:rPr>
        <w:t xml:space="preserve">Privalomojo sveikatos draudimo fondo (toliau – ir </w:t>
      </w:r>
      <w:r w:rsidR="00F90900" w:rsidRPr="006E138E">
        <w:rPr>
          <w:rFonts w:eastAsia="Times New Roman" w:cs="Times New Roman"/>
          <w:bCs/>
          <w:szCs w:val="24"/>
          <w:lang w:eastAsia="lt-LT" w:bidi="lt-LT"/>
        </w:rPr>
        <w:t>PSDF</w:t>
      </w:r>
      <w:r w:rsidR="0035420D" w:rsidRPr="006E138E">
        <w:rPr>
          <w:rFonts w:eastAsia="Times New Roman" w:cs="Times New Roman"/>
          <w:bCs/>
          <w:szCs w:val="24"/>
          <w:lang w:eastAsia="lt-LT" w:bidi="lt-LT"/>
        </w:rPr>
        <w:t>)</w:t>
      </w:r>
      <w:r w:rsidR="00F90900" w:rsidRPr="006E138E">
        <w:rPr>
          <w:rFonts w:eastAsia="Times New Roman" w:cs="Times New Roman"/>
          <w:bCs/>
          <w:szCs w:val="24"/>
          <w:lang w:eastAsia="lt-LT" w:bidi="lt-LT"/>
        </w:rPr>
        <w:t xml:space="preserve"> biudžeto išlaidų vaistui </w:t>
      </w:r>
      <w:r w:rsidR="00C724C2">
        <w:rPr>
          <w:rFonts w:eastAsia="Times New Roman" w:cs="Times New Roman"/>
          <w:bCs/>
          <w:szCs w:val="24"/>
          <w:lang w:eastAsia="lt-LT" w:bidi="lt-LT"/>
        </w:rPr>
        <w:t>„</w:t>
      </w:r>
      <w:proofErr w:type="spellStart"/>
      <w:r w:rsidR="00651C29" w:rsidRPr="006E138E">
        <w:rPr>
          <w:rFonts w:eastAsia="Times New Roman" w:cs="Times New Roman"/>
          <w:bCs/>
          <w:szCs w:val="24"/>
          <w:lang w:eastAsia="lt-LT" w:bidi="lt-LT"/>
        </w:rPr>
        <w:t>Ranolazinum</w:t>
      </w:r>
      <w:proofErr w:type="spellEnd"/>
      <w:r w:rsidR="00C724C2">
        <w:rPr>
          <w:rFonts w:eastAsia="Times New Roman" w:cs="Times New Roman"/>
          <w:bCs/>
          <w:szCs w:val="24"/>
          <w:lang w:eastAsia="lt-LT" w:bidi="lt-LT"/>
        </w:rPr>
        <w:t>“</w:t>
      </w:r>
      <w:r w:rsidR="00651C29" w:rsidRPr="006E138E">
        <w:rPr>
          <w:rFonts w:eastAsia="Times New Roman" w:cs="Times New Roman"/>
          <w:bCs/>
          <w:szCs w:val="24"/>
          <w:lang w:eastAsia="lt-LT" w:bidi="lt-LT"/>
        </w:rPr>
        <w:t xml:space="preserve"> (</w:t>
      </w:r>
      <w:r w:rsidR="00C724C2">
        <w:rPr>
          <w:rFonts w:eastAsia="Times New Roman" w:cs="Times New Roman"/>
          <w:bCs/>
          <w:szCs w:val="24"/>
          <w:lang w:eastAsia="lt-LT" w:bidi="lt-LT"/>
        </w:rPr>
        <w:t>„</w:t>
      </w:r>
      <w:proofErr w:type="spellStart"/>
      <w:r w:rsidR="00F90900" w:rsidRPr="006E138E">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00651C29" w:rsidRPr="006E138E">
        <w:rPr>
          <w:rFonts w:eastAsia="Times New Roman" w:cs="Times New Roman"/>
          <w:bCs/>
          <w:szCs w:val="24"/>
          <w:lang w:eastAsia="lt-LT" w:bidi="lt-LT"/>
        </w:rPr>
        <w:t xml:space="preserve">) (toliau – ir vaistas </w:t>
      </w:r>
      <w:r w:rsidR="00C724C2">
        <w:rPr>
          <w:rFonts w:eastAsia="Times New Roman" w:cs="Times New Roman"/>
          <w:bCs/>
          <w:szCs w:val="24"/>
          <w:lang w:eastAsia="lt-LT" w:bidi="lt-LT"/>
        </w:rPr>
        <w:t>„</w:t>
      </w:r>
      <w:proofErr w:type="spellStart"/>
      <w:r w:rsidR="00651C29" w:rsidRPr="006E138E">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00651C29" w:rsidRPr="006E138E">
        <w:rPr>
          <w:rFonts w:eastAsia="Times New Roman" w:cs="Times New Roman"/>
          <w:bCs/>
          <w:szCs w:val="24"/>
          <w:lang w:eastAsia="lt-LT" w:bidi="lt-LT"/>
        </w:rPr>
        <w:t>)</w:t>
      </w:r>
      <w:r w:rsidR="00F90900" w:rsidRPr="006E138E">
        <w:rPr>
          <w:rFonts w:eastAsia="Times New Roman" w:cs="Times New Roman"/>
          <w:bCs/>
          <w:szCs w:val="24"/>
          <w:lang w:eastAsia="lt-LT" w:bidi="lt-LT"/>
        </w:rPr>
        <w:t>; grąžinti 1 516 270,86 Eur į PSDF biudžetą</w:t>
      </w:r>
      <w:r w:rsidRPr="006E138E">
        <w:rPr>
          <w:rFonts w:eastAsia="Times New Roman" w:cs="Times New Roman"/>
          <w:bCs/>
          <w:szCs w:val="24"/>
          <w:lang w:eastAsia="lt-LT" w:bidi="lt-LT"/>
        </w:rPr>
        <w:t xml:space="preserve">.  </w:t>
      </w:r>
    </w:p>
    <w:p w14:paraId="4FCA3451" w14:textId="78A3C3F2" w:rsidR="00E64379" w:rsidRDefault="008314EE"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6E138E">
        <w:rPr>
          <w:rFonts w:eastAsia="Times New Roman" w:cs="Times New Roman"/>
          <w:bCs/>
          <w:szCs w:val="24"/>
          <w:lang w:eastAsia="lt-LT" w:bidi="lt-LT"/>
        </w:rPr>
        <w:t>Ieškovė nurodė, kad</w:t>
      </w:r>
      <w:r w:rsidR="00651C29" w:rsidRPr="006E138E">
        <w:rPr>
          <w:rFonts w:eastAsia="Times New Roman" w:cs="Times New Roman"/>
          <w:bCs/>
          <w:szCs w:val="24"/>
          <w:lang w:eastAsia="lt-LT" w:bidi="lt-LT"/>
        </w:rPr>
        <w:t xml:space="preserve"> atsakovė, vadovaudamasi Lietuvos Respublikos sveikatos draudimo įs</w:t>
      </w:r>
      <w:r w:rsidR="00F3644F">
        <w:rPr>
          <w:rFonts w:eastAsia="Times New Roman" w:cs="Times New Roman"/>
          <w:bCs/>
          <w:szCs w:val="24"/>
          <w:lang w:eastAsia="lt-LT" w:bidi="lt-LT"/>
        </w:rPr>
        <w:t>tatymu</w:t>
      </w:r>
      <w:r w:rsidR="00651C29" w:rsidRPr="006E138E">
        <w:rPr>
          <w:rFonts w:eastAsia="Times New Roman" w:cs="Times New Roman"/>
          <w:bCs/>
          <w:szCs w:val="24"/>
          <w:lang w:eastAsia="lt-LT" w:bidi="lt-LT"/>
        </w:rPr>
        <w:t>, Valstybinės ligonių kasos prie Sveikatos apsaugos ministerijos ir vaistinių preparatų gamintojų sudarymo ir vykdymo tvarkos aprašu</w:t>
      </w:r>
      <w:r w:rsidR="00EA71E0">
        <w:rPr>
          <w:rFonts w:eastAsia="Times New Roman" w:cs="Times New Roman"/>
          <w:bCs/>
          <w:szCs w:val="24"/>
          <w:lang w:eastAsia="lt-LT" w:bidi="lt-LT"/>
        </w:rPr>
        <w:t>, patvirtintu Lietuvos Respublikos sveikatos apsaugos ministro 2014 m. birželio 23 d. įsakymu Nr. V-726,</w:t>
      </w:r>
      <w:r w:rsidR="00651C29" w:rsidRPr="006E138E">
        <w:rPr>
          <w:rFonts w:eastAsia="Times New Roman" w:cs="Times New Roman"/>
          <w:bCs/>
          <w:szCs w:val="24"/>
          <w:lang w:eastAsia="lt-LT" w:bidi="lt-LT"/>
        </w:rPr>
        <w:t xml:space="preserve"> (toliau </w:t>
      </w:r>
      <w:r w:rsidR="00E231CD">
        <w:rPr>
          <w:rFonts w:eastAsia="Times New Roman" w:cs="Times New Roman"/>
          <w:bCs/>
          <w:szCs w:val="24"/>
          <w:lang w:eastAsia="lt-LT" w:bidi="lt-LT"/>
        </w:rPr>
        <w:t xml:space="preserve">– </w:t>
      </w:r>
      <w:r w:rsidR="00651C29" w:rsidRPr="006E138E">
        <w:rPr>
          <w:rFonts w:eastAsia="Times New Roman" w:cs="Times New Roman"/>
          <w:bCs/>
          <w:szCs w:val="24"/>
          <w:lang w:eastAsia="lt-LT" w:bidi="lt-LT"/>
        </w:rPr>
        <w:t>Aprašas) ir Ligų, vaistinių preparatų ir medicinos pagalbos priemonių</w:t>
      </w:r>
      <w:r w:rsidR="00651C29" w:rsidRPr="00801C6F">
        <w:rPr>
          <w:rFonts w:eastAsia="Times New Roman" w:cs="Times New Roman"/>
          <w:bCs/>
          <w:szCs w:val="24"/>
          <w:lang w:eastAsia="lt-LT" w:bidi="lt-LT"/>
        </w:rPr>
        <w:t xml:space="preserve"> kompensavimo komisijos (toliau – Kompensavimo komisija) 2015 m. kovo 27 d. sprendimu, sudarė su VLK 2015 m. balandžio 24 d.</w:t>
      </w:r>
      <w:r w:rsidR="00E231CD">
        <w:rPr>
          <w:rFonts w:eastAsia="Times New Roman" w:cs="Times New Roman"/>
          <w:bCs/>
          <w:szCs w:val="24"/>
          <w:lang w:eastAsia="lt-LT" w:bidi="lt-LT"/>
        </w:rPr>
        <w:t xml:space="preserve"> </w:t>
      </w:r>
      <w:r w:rsidR="00651C29" w:rsidRPr="00801C6F">
        <w:rPr>
          <w:rFonts w:eastAsia="Times New Roman" w:cs="Times New Roman"/>
          <w:bCs/>
          <w:szCs w:val="24"/>
          <w:lang w:eastAsia="lt-LT" w:bidi="lt-LT"/>
        </w:rPr>
        <w:t>/</w:t>
      </w:r>
      <w:r w:rsidR="00E231CD">
        <w:rPr>
          <w:rFonts w:eastAsia="Times New Roman" w:cs="Times New Roman"/>
          <w:bCs/>
          <w:szCs w:val="24"/>
          <w:lang w:eastAsia="lt-LT" w:bidi="lt-LT"/>
        </w:rPr>
        <w:t xml:space="preserve"> </w:t>
      </w:r>
      <w:r w:rsidR="00651C29" w:rsidRPr="00801C6F">
        <w:rPr>
          <w:rFonts w:eastAsia="Times New Roman" w:cs="Times New Roman"/>
          <w:bCs/>
          <w:szCs w:val="24"/>
          <w:lang w:eastAsia="lt-LT" w:bidi="lt-LT"/>
        </w:rPr>
        <w:t xml:space="preserve">gegužės 4 d. sutartį Nr. 1SUT-143 ,,Dėl gydymo kompensuojamuoju vaistu </w:t>
      </w:r>
      <w:proofErr w:type="spellStart"/>
      <w:r w:rsidR="00651C29" w:rsidRPr="00801C6F">
        <w:rPr>
          <w:rFonts w:eastAsia="Times New Roman" w:cs="Times New Roman"/>
          <w:bCs/>
          <w:szCs w:val="24"/>
          <w:lang w:eastAsia="lt-LT" w:bidi="lt-LT"/>
        </w:rPr>
        <w:t>Ranol</w:t>
      </w:r>
      <w:r w:rsidR="00801C6F">
        <w:rPr>
          <w:rFonts w:eastAsia="Times New Roman" w:cs="Times New Roman"/>
          <w:bCs/>
          <w:szCs w:val="24"/>
          <w:lang w:eastAsia="lt-LT" w:bidi="lt-LT"/>
        </w:rPr>
        <w:t>a</w:t>
      </w:r>
      <w:r w:rsidR="00651C29" w:rsidRPr="00801C6F">
        <w:rPr>
          <w:rFonts w:eastAsia="Times New Roman" w:cs="Times New Roman"/>
          <w:bCs/>
          <w:szCs w:val="24"/>
          <w:lang w:eastAsia="lt-LT" w:bidi="lt-LT"/>
        </w:rPr>
        <w:t>zinum</w:t>
      </w:r>
      <w:proofErr w:type="spellEnd"/>
      <w:r w:rsidR="00651C29" w:rsidRPr="00801C6F">
        <w:rPr>
          <w:rFonts w:eastAsia="Times New Roman" w:cs="Times New Roman"/>
          <w:bCs/>
          <w:szCs w:val="24"/>
          <w:lang w:eastAsia="lt-LT" w:bidi="lt-LT"/>
        </w:rPr>
        <w:t xml:space="preserve"> prieinamumo gerinimo ir rizikos pasidalijimo“ dėl vaisto </w:t>
      </w:r>
      <w:r w:rsidR="00C724C2">
        <w:rPr>
          <w:rFonts w:eastAsia="Times New Roman" w:cs="Times New Roman"/>
          <w:bCs/>
          <w:szCs w:val="24"/>
          <w:lang w:eastAsia="lt-LT" w:bidi="lt-LT"/>
        </w:rPr>
        <w:t>„</w:t>
      </w:r>
      <w:proofErr w:type="spellStart"/>
      <w:r w:rsidR="00651C29" w:rsidRPr="00801C6F">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00801C6F">
        <w:rPr>
          <w:rFonts w:eastAsia="Times New Roman" w:cs="Times New Roman"/>
          <w:bCs/>
          <w:szCs w:val="24"/>
          <w:lang w:eastAsia="lt-LT" w:bidi="lt-LT"/>
        </w:rPr>
        <w:t xml:space="preserve"> (toliau – ir Sutartis)</w:t>
      </w:r>
      <w:r w:rsidRPr="00801C6F">
        <w:rPr>
          <w:rFonts w:eastAsia="Times New Roman" w:cs="Times New Roman"/>
          <w:bCs/>
          <w:szCs w:val="24"/>
          <w:lang w:eastAsia="lt-LT" w:bidi="lt-LT"/>
        </w:rPr>
        <w:t xml:space="preserve">. </w:t>
      </w:r>
    </w:p>
    <w:p w14:paraId="1B45E829" w14:textId="0E8CC795" w:rsidR="00730929" w:rsidRPr="006E138E" w:rsidRDefault="00730929"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730929">
        <w:rPr>
          <w:rFonts w:eastAsia="Times New Roman" w:cs="Times New Roman"/>
          <w:bCs/>
          <w:szCs w:val="24"/>
          <w:lang w:eastAsia="lt-LT" w:bidi="lt-LT"/>
        </w:rPr>
        <w:lastRenderedPageBreak/>
        <w:t>Pagal Aprašo 4.3 punkto reikalavimus</w:t>
      </w:r>
      <w:r w:rsidR="00E231CD">
        <w:rPr>
          <w:rFonts w:eastAsia="Times New Roman" w:cs="Times New Roman"/>
          <w:bCs/>
          <w:szCs w:val="24"/>
          <w:lang w:eastAsia="lt-LT" w:bidi="lt-LT"/>
        </w:rPr>
        <w:t>,</w:t>
      </w:r>
      <w:r w:rsidRPr="00730929">
        <w:rPr>
          <w:rFonts w:eastAsia="Times New Roman" w:cs="Times New Roman"/>
          <w:bCs/>
          <w:szCs w:val="24"/>
          <w:lang w:eastAsia="lt-LT" w:bidi="lt-LT"/>
        </w:rPr>
        <w:t xml:space="preserve"> </w:t>
      </w:r>
      <w:r>
        <w:rPr>
          <w:rFonts w:eastAsia="Times New Roman" w:cs="Times New Roman"/>
          <w:bCs/>
          <w:szCs w:val="24"/>
          <w:lang w:eastAsia="lt-LT" w:bidi="lt-LT"/>
        </w:rPr>
        <w:t xml:space="preserve">gydymo prieinamumo gerinimo ir rizikos pasidalijimo </w:t>
      </w:r>
      <w:r w:rsidRPr="00730929">
        <w:rPr>
          <w:rFonts w:eastAsia="Times New Roman" w:cs="Times New Roman"/>
          <w:bCs/>
          <w:szCs w:val="24"/>
          <w:lang w:eastAsia="lt-LT" w:bidi="lt-LT"/>
        </w:rPr>
        <w:t>sutartis sudaroma, jei vaistinis preparatas įrašomas į Ligų ir kompensuojamųjų vaistų joms gydyti sąrašą (A sąrašą), patvirtintą Lietuvos Respublikos sveikatos apsaugos ministro 2000 m. sausio 28 d. įsakymu Nr. 49 ,,Dėl kompensuojamųjų vaistų sąrašų patvirtinimo“, ir dėl jo įrašymo didėja PSDF biudžeto išlaidos</w:t>
      </w:r>
      <w:r>
        <w:rPr>
          <w:rFonts w:eastAsia="Times New Roman" w:cs="Times New Roman"/>
          <w:bCs/>
          <w:szCs w:val="24"/>
          <w:lang w:eastAsia="lt-LT" w:bidi="lt-LT"/>
        </w:rPr>
        <w:t>.</w:t>
      </w:r>
    </w:p>
    <w:p w14:paraId="63E8337A" w14:textId="4005E42C" w:rsidR="00730929" w:rsidRDefault="00730929" w:rsidP="00E64379">
      <w:pPr>
        <w:numPr>
          <w:ilvl w:val="0"/>
          <w:numId w:val="1"/>
        </w:numPr>
        <w:spacing w:after="120" w:line="240" w:lineRule="auto"/>
        <w:ind w:left="357" w:hanging="357"/>
        <w:jc w:val="both"/>
        <w:rPr>
          <w:rFonts w:eastAsia="Times New Roman" w:cs="Times New Roman"/>
          <w:bCs/>
          <w:szCs w:val="24"/>
          <w:lang w:eastAsia="lt-LT" w:bidi="lt-LT"/>
        </w:rPr>
      </w:pPr>
      <w:r w:rsidRPr="00730929">
        <w:rPr>
          <w:rFonts w:eastAsia="Times New Roman" w:cs="Times New Roman"/>
          <w:bCs/>
          <w:szCs w:val="24"/>
          <w:lang w:eastAsia="lt-LT" w:bidi="lt-LT"/>
        </w:rPr>
        <w:t>Ieškovė nurodė,</w:t>
      </w:r>
      <w:r>
        <w:rPr>
          <w:rFonts w:eastAsia="Times New Roman" w:cs="Times New Roman"/>
          <w:bCs/>
          <w:szCs w:val="24"/>
          <w:lang w:eastAsia="lt-LT" w:bidi="lt-LT"/>
        </w:rPr>
        <w:t xml:space="preserve"> kad v</w:t>
      </w:r>
      <w:r w:rsidRPr="00730929">
        <w:rPr>
          <w:rFonts w:eastAsia="Times New Roman" w:cs="Times New Roman"/>
          <w:bCs/>
          <w:szCs w:val="24"/>
          <w:lang w:eastAsia="lt-LT" w:bidi="lt-LT"/>
        </w:rPr>
        <w:t xml:space="preserve">aistas </w:t>
      </w:r>
      <w:r w:rsidR="00C724C2">
        <w:rPr>
          <w:rFonts w:eastAsia="Times New Roman" w:cs="Times New Roman"/>
          <w:bCs/>
          <w:szCs w:val="24"/>
          <w:lang w:eastAsia="lt-LT" w:bidi="lt-LT"/>
        </w:rPr>
        <w:t>„</w:t>
      </w:r>
      <w:proofErr w:type="spellStart"/>
      <w:r w:rsidRPr="00730929">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Pr="00730929">
        <w:rPr>
          <w:rFonts w:eastAsia="Times New Roman" w:cs="Times New Roman"/>
          <w:bCs/>
          <w:szCs w:val="24"/>
          <w:lang w:eastAsia="lt-LT" w:bidi="lt-LT"/>
        </w:rPr>
        <w:t xml:space="preserve"> į kompens</w:t>
      </w:r>
      <w:r w:rsidR="00BF31C7">
        <w:rPr>
          <w:rFonts w:eastAsia="Times New Roman" w:cs="Times New Roman"/>
          <w:bCs/>
          <w:szCs w:val="24"/>
          <w:lang w:eastAsia="lt-LT" w:bidi="lt-LT"/>
        </w:rPr>
        <w:t xml:space="preserve">uojamųjų vaistų sąrašą </w:t>
      </w:r>
      <w:r w:rsidRPr="00730929">
        <w:rPr>
          <w:rFonts w:eastAsia="Times New Roman" w:cs="Times New Roman"/>
          <w:bCs/>
          <w:szCs w:val="24"/>
          <w:lang w:eastAsia="lt-LT" w:bidi="lt-LT"/>
        </w:rPr>
        <w:t xml:space="preserve">2015 metais buvo įtrauktas tik su sąlyga, kad dėl </w:t>
      </w:r>
      <w:r w:rsidR="00BF31C7">
        <w:rPr>
          <w:rFonts w:eastAsia="Times New Roman" w:cs="Times New Roman"/>
          <w:bCs/>
          <w:szCs w:val="24"/>
          <w:lang w:eastAsia="lt-LT" w:bidi="lt-LT"/>
        </w:rPr>
        <w:t xml:space="preserve">šio </w:t>
      </w:r>
      <w:r w:rsidRPr="00730929">
        <w:rPr>
          <w:rFonts w:eastAsia="Times New Roman" w:cs="Times New Roman"/>
          <w:bCs/>
          <w:szCs w:val="24"/>
          <w:lang w:eastAsia="lt-LT" w:bidi="lt-LT"/>
        </w:rPr>
        <w:t>vaisto bus pasirašoma sutartis</w:t>
      </w:r>
      <w:r w:rsidR="004732D4">
        <w:rPr>
          <w:rFonts w:eastAsia="Times New Roman" w:cs="Times New Roman"/>
          <w:bCs/>
          <w:szCs w:val="24"/>
          <w:lang w:eastAsia="lt-LT" w:bidi="lt-LT"/>
        </w:rPr>
        <w:t>,</w:t>
      </w:r>
      <w:r w:rsidRPr="00730929">
        <w:rPr>
          <w:rFonts w:eastAsia="Times New Roman" w:cs="Times New Roman"/>
          <w:bCs/>
          <w:szCs w:val="24"/>
          <w:lang w:eastAsia="lt-LT" w:bidi="lt-LT"/>
        </w:rPr>
        <w:t xml:space="preserve"> ir sutartyje buvo nustatyta, jog sutartis galioja</w:t>
      </w:r>
      <w:r w:rsidR="00BF31C7">
        <w:rPr>
          <w:rFonts w:eastAsia="Times New Roman" w:cs="Times New Roman"/>
          <w:bCs/>
          <w:szCs w:val="24"/>
          <w:lang w:eastAsia="lt-LT" w:bidi="lt-LT"/>
        </w:rPr>
        <w:t>,</w:t>
      </w:r>
      <w:r w:rsidRPr="00730929">
        <w:rPr>
          <w:rFonts w:eastAsia="Times New Roman" w:cs="Times New Roman"/>
          <w:bCs/>
          <w:szCs w:val="24"/>
          <w:lang w:eastAsia="lt-LT" w:bidi="lt-LT"/>
        </w:rPr>
        <w:t xml:space="preserve"> iki k</w:t>
      </w:r>
      <w:r w:rsidR="00BF31C7">
        <w:rPr>
          <w:rFonts w:eastAsia="Times New Roman" w:cs="Times New Roman"/>
          <w:bCs/>
          <w:szCs w:val="24"/>
          <w:lang w:eastAsia="lt-LT" w:bidi="lt-LT"/>
        </w:rPr>
        <w:t>ompensuojamųjų vaistų sąraše</w:t>
      </w:r>
      <w:r w:rsidRPr="00730929">
        <w:rPr>
          <w:rFonts w:eastAsia="Times New Roman" w:cs="Times New Roman"/>
          <w:bCs/>
          <w:szCs w:val="24"/>
          <w:lang w:eastAsia="lt-LT" w:bidi="lt-LT"/>
        </w:rPr>
        <w:t xml:space="preserve"> atsiranda </w:t>
      </w:r>
      <w:proofErr w:type="spellStart"/>
      <w:r w:rsidRPr="00730929">
        <w:rPr>
          <w:rFonts w:eastAsia="Times New Roman" w:cs="Times New Roman"/>
          <w:bCs/>
          <w:szCs w:val="24"/>
          <w:lang w:eastAsia="lt-LT" w:bidi="lt-LT"/>
        </w:rPr>
        <w:t>generinis</w:t>
      </w:r>
      <w:proofErr w:type="spellEnd"/>
      <w:r w:rsidRPr="00730929">
        <w:rPr>
          <w:rFonts w:eastAsia="Times New Roman" w:cs="Times New Roman"/>
          <w:bCs/>
          <w:szCs w:val="24"/>
          <w:lang w:eastAsia="lt-LT" w:bidi="lt-LT"/>
        </w:rPr>
        <w:t xml:space="preserve"> vaistinis preparatas. Jei dėl vaisto </w:t>
      </w:r>
      <w:r w:rsidR="00C724C2">
        <w:rPr>
          <w:rFonts w:eastAsia="Times New Roman" w:cs="Times New Roman"/>
          <w:bCs/>
          <w:szCs w:val="24"/>
          <w:lang w:eastAsia="lt-LT" w:bidi="lt-LT"/>
        </w:rPr>
        <w:t>„</w:t>
      </w:r>
      <w:proofErr w:type="spellStart"/>
      <w:r w:rsidRPr="00730929">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Pr="00730929">
        <w:rPr>
          <w:rFonts w:eastAsia="Times New Roman" w:cs="Times New Roman"/>
          <w:bCs/>
          <w:szCs w:val="24"/>
          <w:lang w:eastAsia="lt-LT" w:bidi="lt-LT"/>
        </w:rPr>
        <w:t xml:space="preserve"> nebūtų buvusi sudaryta Sutartis, šis vaistas nebūtų </w:t>
      </w:r>
      <w:r w:rsidR="00BF31C7">
        <w:rPr>
          <w:rFonts w:eastAsia="Times New Roman" w:cs="Times New Roman"/>
          <w:bCs/>
          <w:szCs w:val="24"/>
          <w:lang w:eastAsia="lt-LT" w:bidi="lt-LT"/>
        </w:rPr>
        <w:t xml:space="preserve">buvęs </w:t>
      </w:r>
      <w:r w:rsidRPr="00730929">
        <w:rPr>
          <w:rFonts w:eastAsia="Times New Roman" w:cs="Times New Roman"/>
          <w:bCs/>
          <w:szCs w:val="24"/>
          <w:lang w:eastAsia="lt-LT" w:bidi="lt-LT"/>
        </w:rPr>
        <w:t>įtrauktas į kompensuojamųjų vaistų sąrašą ir apskritai nebūtų kompensuojamas apdraustiems privalomuoju draudimu asmenims</w:t>
      </w:r>
      <w:r>
        <w:rPr>
          <w:rFonts w:eastAsia="Times New Roman" w:cs="Times New Roman"/>
          <w:bCs/>
          <w:szCs w:val="24"/>
          <w:lang w:eastAsia="lt-LT" w:bidi="lt-LT"/>
        </w:rPr>
        <w:t>.</w:t>
      </w:r>
    </w:p>
    <w:p w14:paraId="5E0BAD34" w14:textId="6371DA4F" w:rsidR="00B43423" w:rsidRPr="006E138E" w:rsidRDefault="00730929" w:rsidP="00E64379">
      <w:pPr>
        <w:numPr>
          <w:ilvl w:val="0"/>
          <w:numId w:val="1"/>
        </w:numPr>
        <w:spacing w:after="120" w:line="240" w:lineRule="auto"/>
        <w:ind w:left="357" w:hanging="357"/>
        <w:jc w:val="both"/>
        <w:rPr>
          <w:rFonts w:eastAsia="Times New Roman" w:cs="Times New Roman"/>
          <w:bCs/>
          <w:szCs w:val="24"/>
          <w:lang w:eastAsia="lt-LT" w:bidi="lt-LT"/>
        </w:rPr>
      </w:pPr>
      <w:r w:rsidRPr="00730929">
        <w:rPr>
          <w:rFonts w:eastAsia="Times New Roman" w:cs="Times New Roman"/>
          <w:bCs/>
          <w:szCs w:val="24"/>
          <w:lang w:eastAsia="lt-LT" w:bidi="lt-LT"/>
        </w:rPr>
        <w:t>Sutartyje buvo nu</w:t>
      </w:r>
      <w:r w:rsidR="00BF31C7">
        <w:rPr>
          <w:rFonts w:eastAsia="Times New Roman" w:cs="Times New Roman"/>
          <w:bCs/>
          <w:szCs w:val="24"/>
          <w:lang w:eastAsia="lt-LT" w:bidi="lt-LT"/>
        </w:rPr>
        <w:t>rod</w:t>
      </w:r>
      <w:r w:rsidRPr="00730929">
        <w:rPr>
          <w:rFonts w:eastAsia="Times New Roman" w:cs="Times New Roman"/>
          <w:bCs/>
          <w:szCs w:val="24"/>
          <w:lang w:eastAsia="lt-LT" w:bidi="lt-LT"/>
        </w:rPr>
        <w:t xml:space="preserve">ytos prognozuojamos PSDF biudžeto išlaidos vaistui </w:t>
      </w:r>
      <w:r w:rsidR="00C724C2">
        <w:rPr>
          <w:rFonts w:eastAsia="Times New Roman" w:cs="Times New Roman"/>
          <w:bCs/>
          <w:szCs w:val="24"/>
          <w:lang w:eastAsia="lt-LT" w:bidi="lt-LT"/>
        </w:rPr>
        <w:t>„</w:t>
      </w:r>
      <w:proofErr w:type="spellStart"/>
      <w:r w:rsidRPr="00730929">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Pr="00730929">
        <w:rPr>
          <w:rFonts w:eastAsia="Times New Roman" w:cs="Times New Roman"/>
          <w:bCs/>
          <w:szCs w:val="24"/>
          <w:lang w:eastAsia="lt-LT" w:bidi="lt-LT"/>
        </w:rPr>
        <w:t xml:space="preserve"> 2015–2017 metams </w:t>
      </w:r>
      <w:r w:rsidR="00BF31C7">
        <w:rPr>
          <w:rFonts w:eastAsia="Times New Roman" w:cs="Times New Roman"/>
          <w:bCs/>
          <w:szCs w:val="24"/>
          <w:lang w:eastAsia="lt-LT" w:bidi="lt-LT"/>
        </w:rPr>
        <w:t>ir</w:t>
      </w:r>
      <w:r w:rsidRPr="00730929">
        <w:rPr>
          <w:rFonts w:eastAsia="Times New Roman" w:cs="Times New Roman"/>
          <w:bCs/>
          <w:szCs w:val="24"/>
          <w:lang w:eastAsia="lt-LT" w:bidi="lt-LT"/>
        </w:rPr>
        <w:t xml:space="preserve"> Sutarties 4.6 punkte nurodyta, kad ji galioja tol, kol į tą pačią kainyno </w:t>
      </w:r>
      <w:r>
        <w:rPr>
          <w:rFonts w:eastAsia="Times New Roman" w:cs="Times New Roman"/>
          <w:bCs/>
          <w:szCs w:val="24"/>
          <w:lang w:eastAsia="lt-LT" w:bidi="lt-LT"/>
        </w:rPr>
        <w:t>vaistų grupę</w:t>
      </w:r>
      <w:r w:rsidRPr="00730929">
        <w:rPr>
          <w:rFonts w:eastAsia="Times New Roman" w:cs="Times New Roman"/>
          <w:bCs/>
          <w:szCs w:val="24"/>
          <w:lang w:eastAsia="lt-LT" w:bidi="lt-LT"/>
        </w:rPr>
        <w:t xml:space="preserve"> įrašomas </w:t>
      </w:r>
      <w:proofErr w:type="spellStart"/>
      <w:r w:rsidRPr="00730929">
        <w:rPr>
          <w:rFonts w:eastAsia="Times New Roman" w:cs="Times New Roman"/>
          <w:bCs/>
          <w:szCs w:val="24"/>
          <w:lang w:eastAsia="lt-LT" w:bidi="lt-LT"/>
        </w:rPr>
        <w:t>generinis</w:t>
      </w:r>
      <w:proofErr w:type="spellEnd"/>
      <w:r w:rsidRPr="00730929">
        <w:rPr>
          <w:rFonts w:eastAsia="Times New Roman" w:cs="Times New Roman"/>
          <w:bCs/>
          <w:szCs w:val="24"/>
          <w:lang w:eastAsia="lt-LT" w:bidi="lt-LT"/>
        </w:rPr>
        <w:t xml:space="preserve"> vaistas. Kadangi </w:t>
      </w:r>
      <w:proofErr w:type="spellStart"/>
      <w:r w:rsidRPr="00730929">
        <w:rPr>
          <w:rFonts w:eastAsia="Times New Roman" w:cs="Times New Roman"/>
          <w:bCs/>
          <w:szCs w:val="24"/>
          <w:lang w:eastAsia="lt-LT" w:bidi="lt-LT"/>
        </w:rPr>
        <w:t>generinis</w:t>
      </w:r>
      <w:proofErr w:type="spellEnd"/>
      <w:r w:rsidRPr="00730929">
        <w:rPr>
          <w:rFonts w:eastAsia="Times New Roman" w:cs="Times New Roman"/>
          <w:bCs/>
          <w:szCs w:val="24"/>
          <w:lang w:eastAsia="lt-LT" w:bidi="lt-LT"/>
        </w:rPr>
        <w:t xml:space="preserve"> vaistas nebuvo įrašytas į tą pačią </w:t>
      </w:r>
      <w:r w:rsidR="004732D4" w:rsidRPr="00730929">
        <w:rPr>
          <w:rFonts w:eastAsia="Times New Roman" w:cs="Times New Roman"/>
          <w:bCs/>
          <w:szCs w:val="24"/>
          <w:lang w:eastAsia="lt-LT" w:bidi="lt-LT"/>
        </w:rPr>
        <w:t xml:space="preserve">kainyno </w:t>
      </w:r>
      <w:r w:rsidRPr="00730929">
        <w:rPr>
          <w:rFonts w:eastAsia="Times New Roman" w:cs="Times New Roman"/>
          <w:bCs/>
          <w:szCs w:val="24"/>
          <w:lang w:eastAsia="lt-LT" w:bidi="lt-LT"/>
        </w:rPr>
        <w:t>vaistų grupę, Sutartis buvo laikoma galiojančia, o atsakovė nesutiko su galiojančios Sutarties priedo pakeitimu 2018–2019 metais</w:t>
      </w:r>
      <w:r>
        <w:rPr>
          <w:rFonts w:eastAsia="Times New Roman" w:cs="Times New Roman"/>
          <w:bCs/>
          <w:szCs w:val="24"/>
          <w:lang w:eastAsia="lt-LT" w:bidi="lt-LT"/>
        </w:rPr>
        <w:t>.</w:t>
      </w:r>
      <w:r w:rsidR="00B43423" w:rsidRPr="006E138E">
        <w:rPr>
          <w:rFonts w:eastAsia="Times New Roman" w:cs="Times New Roman"/>
          <w:bCs/>
          <w:szCs w:val="24"/>
          <w:lang w:eastAsia="lt-LT" w:bidi="lt-LT"/>
        </w:rPr>
        <w:t xml:space="preserve"> Atsižvelg</w:t>
      </w:r>
      <w:r w:rsidR="00BF31C7">
        <w:rPr>
          <w:rFonts w:eastAsia="Times New Roman" w:cs="Times New Roman"/>
          <w:bCs/>
          <w:szCs w:val="24"/>
          <w:lang w:eastAsia="lt-LT" w:bidi="lt-LT"/>
        </w:rPr>
        <w:t>dama</w:t>
      </w:r>
      <w:r w:rsidR="00B43423" w:rsidRPr="006E138E">
        <w:rPr>
          <w:rFonts w:eastAsia="Times New Roman" w:cs="Times New Roman"/>
          <w:bCs/>
          <w:szCs w:val="24"/>
          <w:lang w:eastAsia="lt-LT" w:bidi="lt-LT"/>
        </w:rPr>
        <w:t xml:space="preserve"> į tai, VLK 2020 metų sausį kreipėsi į Vilniaus apygardos administracinį teismą dėl įpareigojimo pasirašyti sutartį. Vilniaus apygardos administracinis teismas kreipėsi dėl bylos teismingumo ir</w:t>
      </w:r>
      <w:r w:rsidR="006C0045">
        <w:rPr>
          <w:rFonts w:eastAsia="Times New Roman" w:cs="Times New Roman"/>
          <w:bCs/>
          <w:szCs w:val="24"/>
          <w:lang w:eastAsia="lt-LT" w:bidi="lt-LT"/>
        </w:rPr>
        <w:t>,</w:t>
      </w:r>
      <w:r w:rsidR="00B43423" w:rsidRPr="006E138E">
        <w:rPr>
          <w:rFonts w:eastAsia="Times New Roman" w:cs="Times New Roman"/>
          <w:bCs/>
          <w:szCs w:val="24"/>
          <w:lang w:eastAsia="lt-LT" w:bidi="lt-LT"/>
        </w:rPr>
        <w:t xml:space="preserve"> bylą perdavus pagal teismingumą Vilniaus apygardos teismui, VLK ir atsakovė sudarė taikos sutartį (</w:t>
      </w:r>
      <w:r w:rsidR="008D61EA">
        <w:rPr>
          <w:rFonts w:eastAsia="Times New Roman" w:cs="Times New Roman"/>
          <w:bCs/>
          <w:szCs w:val="24"/>
          <w:lang w:eastAsia="lt-LT" w:bidi="lt-LT"/>
        </w:rPr>
        <w:t xml:space="preserve">patvirtinta </w:t>
      </w:r>
      <w:r w:rsidR="00B43423" w:rsidRPr="006E138E">
        <w:rPr>
          <w:rFonts w:eastAsia="Times New Roman" w:cs="Times New Roman"/>
          <w:bCs/>
          <w:szCs w:val="24"/>
          <w:lang w:eastAsia="lt-LT" w:bidi="lt-LT"/>
        </w:rPr>
        <w:t>Vilniaus apygardos teismo 2020 m. gruodžio 3 d. nutartimi civilinėje byloje Nr. e2-3462-643/2020, toliau – ir Taikos sutartis) ir susitarė dėl sumos nustatymo 2018</w:t>
      </w:r>
      <w:r w:rsidR="006C0045">
        <w:rPr>
          <w:rFonts w:eastAsia="Times New Roman" w:cs="Times New Roman"/>
          <w:bCs/>
          <w:szCs w:val="24"/>
          <w:lang w:eastAsia="lt-LT" w:bidi="lt-LT"/>
        </w:rPr>
        <w:t>–</w:t>
      </w:r>
      <w:r w:rsidR="00B43423" w:rsidRPr="006E138E">
        <w:rPr>
          <w:rFonts w:eastAsia="Times New Roman" w:cs="Times New Roman"/>
          <w:bCs/>
          <w:szCs w:val="24"/>
          <w:lang w:eastAsia="lt-LT" w:bidi="lt-LT"/>
        </w:rPr>
        <w:t xml:space="preserve">2019 metams. </w:t>
      </w:r>
    </w:p>
    <w:p w14:paraId="01009496" w14:textId="4BCAB30F" w:rsidR="00B43423" w:rsidRPr="006E138E" w:rsidRDefault="00B43423" w:rsidP="00E64379">
      <w:pPr>
        <w:numPr>
          <w:ilvl w:val="0"/>
          <w:numId w:val="1"/>
        </w:numPr>
        <w:spacing w:after="120" w:line="240" w:lineRule="auto"/>
        <w:ind w:left="357" w:hanging="357"/>
        <w:jc w:val="both"/>
        <w:rPr>
          <w:rFonts w:eastAsia="Times New Roman" w:cs="Times New Roman"/>
          <w:bCs/>
          <w:szCs w:val="24"/>
          <w:lang w:eastAsia="lt-LT" w:bidi="lt-LT"/>
        </w:rPr>
      </w:pPr>
      <w:r w:rsidRPr="006E138E">
        <w:rPr>
          <w:rFonts w:eastAsia="Times New Roman" w:cs="Times New Roman"/>
          <w:bCs/>
          <w:szCs w:val="24"/>
          <w:lang w:eastAsia="lt-LT" w:bidi="lt-LT"/>
        </w:rPr>
        <w:t>Ieškovė teigė, jog</w:t>
      </w:r>
      <w:r w:rsidR="00BF31C7">
        <w:rPr>
          <w:rFonts w:eastAsia="Times New Roman" w:cs="Times New Roman"/>
          <w:bCs/>
          <w:szCs w:val="24"/>
          <w:lang w:eastAsia="lt-LT" w:bidi="lt-LT"/>
        </w:rPr>
        <w:t>,</w:t>
      </w:r>
      <w:r w:rsidRPr="006E138E">
        <w:rPr>
          <w:rFonts w:eastAsia="Times New Roman" w:cs="Times New Roman"/>
          <w:bCs/>
          <w:szCs w:val="24"/>
          <w:lang w:eastAsia="lt-LT" w:bidi="lt-LT"/>
        </w:rPr>
        <w:t xml:space="preserve"> atsižvelgiant į Taikos sutartimi susitartas sąlygas, VLK apskaičiavo 2020 metų prognozuojamą išlaidų sumą </w:t>
      </w:r>
      <w:r w:rsidR="004732D4">
        <w:rPr>
          <w:rFonts w:eastAsia="Times New Roman" w:cs="Times New Roman"/>
          <w:bCs/>
          <w:szCs w:val="24"/>
          <w:lang w:eastAsia="lt-LT" w:bidi="lt-LT"/>
        </w:rPr>
        <w:t>ir</w:t>
      </w:r>
      <w:r w:rsidRPr="006E138E">
        <w:rPr>
          <w:rFonts w:eastAsia="Times New Roman" w:cs="Times New Roman"/>
          <w:bCs/>
          <w:szCs w:val="24"/>
          <w:lang w:eastAsia="lt-LT" w:bidi="lt-LT"/>
        </w:rPr>
        <w:t xml:space="preserve"> 2020 m. gruodžio 16 d. raštu </w:t>
      </w:r>
      <w:r w:rsidR="00BF31C7">
        <w:rPr>
          <w:rFonts w:eastAsia="Times New Roman" w:cs="Times New Roman"/>
          <w:bCs/>
          <w:szCs w:val="24"/>
          <w:lang w:eastAsia="lt-LT" w:bidi="lt-LT"/>
        </w:rPr>
        <w:t>Nr. </w:t>
      </w:r>
      <w:r w:rsidRPr="006E138E">
        <w:rPr>
          <w:rFonts w:eastAsia="Times New Roman" w:cs="Times New Roman"/>
          <w:bCs/>
          <w:szCs w:val="24"/>
          <w:lang w:eastAsia="lt-LT" w:bidi="lt-LT"/>
        </w:rPr>
        <w:t xml:space="preserve">4k-8668 išsiuntė </w:t>
      </w:r>
      <w:r w:rsidR="008D61EA">
        <w:rPr>
          <w:rFonts w:eastAsia="Times New Roman" w:cs="Times New Roman"/>
          <w:bCs/>
          <w:szCs w:val="24"/>
          <w:lang w:eastAsia="lt-LT" w:bidi="lt-LT"/>
        </w:rPr>
        <w:t xml:space="preserve">atsakovei </w:t>
      </w:r>
      <w:r w:rsidRPr="006E138E">
        <w:rPr>
          <w:rFonts w:eastAsia="Times New Roman" w:cs="Times New Roman"/>
          <w:bCs/>
          <w:szCs w:val="24"/>
          <w:lang w:eastAsia="lt-LT" w:bidi="lt-LT"/>
        </w:rPr>
        <w:t xml:space="preserve">pasirašyti sutarties projektą ,,Dėl Gydymo kompensuojamuoju vaistu </w:t>
      </w:r>
      <w:r w:rsidR="00C724C2">
        <w:rPr>
          <w:rFonts w:eastAsia="Times New Roman" w:cs="Times New Roman"/>
          <w:bCs/>
          <w:szCs w:val="24"/>
          <w:lang w:eastAsia="lt-LT" w:bidi="lt-LT"/>
        </w:rPr>
        <w:t>„</w:t>
      </w:r>
      <w:proofErr w:type="spellStart"/>
      <w:r w:rsidRPr="006E138E">
        <w:rPr>
          <w:rFonts w:eastAsia="Times New Roman" w:cs="Times New Roman"/>
          <w:bCs/>
          <w:szCs w:val="24"/>
          <w:lang w:eastAsia="lt-LT" w:bidi="lt-LT"/>
        </w:rPr>
        <w:t>Ranolazinum</w:t>
      </w:r>
      <w:proofErr w:type="spellEnd"/>
      <w:r w:rsidR="00C724C2">
        <w:rPr>
          <w:rFonts w:eastAsia="Times New Roman" w:cs="Times New Roman"/>
          <w:bCs/>
          <w:szCs w:val="24"/>
          <w:lang w:eastAsia="lt-LT" w:bidi="lt-LT"/>
        </w:rPr>
        <w:t>“</w:t>
      </w:r>
      <w:r w:rsidRPr="006E138E">
        <w:rPr>
          <w:rFonts w:eastAsia="Times New Roman" w:cs="Times New Roman"/>
          <w:bCs/>
          <w:szCs w:val="24"/>
          <w:lang w:eastAsia="lt-LT" w:bidi="lt-LT"/>
        </w:rPr>
        <w:t xml:space="preserve"> prieinamumo gerinimo ir rizikos pasidalijimo“ (pakeičian</w:t>
      </w:r>
      <w:r w:rsidR="00730929">
        <w:rPr>
          <w:rFonts w:eastAsia="Times New Roman" w:cs="Times New Roman"/>
          <w:bCs/>
          <w:szCs w:val="24"/>
          <w:lang w:eastAsia="lt-LT" w:bidi="lt-LT"/>
        </w:rPr>
        <w:t>tį</w:t>
      </w:r>
      <w:r w:rsidRPr="006E138E">
        <w:rPr>
          <w:rFonts w:eastAsia="Times New Roman" w:cs="Times New Roman"/>
          <w:bCs/>
          <w:szCs w:val="24"/>
          <w:lang w:eastAsia="lt-LT" w:bidi="lt-LT"/>
        </w:rPr>
        <w:t xml:space="preserve"> Sutartį), tačiau atsakovė nesuti</w:t>
      </w:r>
      <w:r w:rsidR="00730929">
        <w:rPr>
          <w:rFonts w:eastAsia="Times New Roman" w:cs="Times New Roman"/>
          <w:bCs/>
          <w:szCs w:val="24"/>
          <w:lang w:eastAsia="lt-LT" w:bidi="lt-LT"/>
        </w:rPr>
        <w:t>ko</w:t>
      </w:r>
      <w:r w:rsidRPr="006E138E">
        <w:rPr>
          <w:rFonts w:eastAsia="Times New Roman" w:cs="Times New Roman"/>
          <w:bCs/>
          <w:szCs w:val="24"/>
          <w:lang w:eastAsia="lt-LT" w:bidi="lt-LT"/>
        </w:rPr>
        <w:t xml:space="preserve"> pasirašyti sutarties projekto</w:t>
      </w:r>
      <w:r w:rsidR="00730929">
        <w:rPr>
          <w:rFonts w:eastAsia="Times New Roman" w:cs="Times New Roman"/>
          <w:bCs/>
          <w:szCs w:val="24"/>
          <w:lang w:eastAsia="lt-LT" w:bidi="lt-LT"/>
        </w:rPr>
        <w:t>.</w:t>
      </w:r>
    </w:p>
    <w:p w14:paraId="0E50F92A" w14:textId="77777777" w:rsidR="00E64379" w:rsidRDefault="00E64379" w:rsidP="00AC00DC">
      <w:pPr>
        <w:spacing w:after="120" w:line="240" w:lineRule="auto"/>
        <w:ind w:left="357" w:hanging="357"/>
        <w:jc w:val="center"/>
        <w:rPr>
          <w:rFonts w:eastAsia="Times New Roman" w:cs="Times New Roman"/>
          <w:szCs w:val="24"/>
          <w:lang w:eastAsia="lt-LT"/>
        </w:rPr>
      </w:pPr>
    </w:p>
    <w:p w14:paraId="53737C5A"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 xml:space="preserve">II. </w:t>
      </w:r>
      <w:r w:rsidR="008314EE" w:rsidRPr="008314EE">
        <w:rPr>
          <w:rFonts w:eastAsia="Times New Roman" w:cs="Times New Roman"/>
          <w:szCs w:val="24"/>
          <w:lang w:eastAsia="lt-LT"/>
        </w:rPr>
        <w:t>Pirmosios ir apeliacinės instancijos teismų procesinių sprendimų esmė</w:t>
      </w:r>
    </w:p>
    <w:p w14:paraId="1076619A" w14:textId="77777777" w:rsidR="00AC00DC" w:rsidRPr="0013069A" w:rsidRDefault="00AC00DC" w:rsidP="00E34812">
      <w:pPr>
        <w:spacing w:after="120" w:line="240" w:lineRule="auto"/>
        <w:ind w:firstLine="720"/>
        <w:jc w:val="both"/>
        <w:rPr>
          <w:rFonts w:eastAsia="Times New Roman" w:cs="Times New Roman"/>
          <w:szCs w:val="24"/>
          <w:lang w:eastAsia="lt-LT"/>
        </w:rPr>
      </w:pPr>
    </w:p>
    <w:p w14:paraId="288B0519" w14:textId="74A982EC" w:rsidR="008F7F94" w:rsidRPr="008F7F94" w:rsidRDefault="003F5288" w:rsidP="008F7F94">
      <w:pPr>
        <w:numPr>
          <w:ilvl w:val="0"/>
          <w:numId w:val="1"/>
        </w:numPr>
        <w:spacing w:after="120" w:line="240" w:lineRule="auto"/>
        <w:ind w:left="357" w:hanging="357"/>
        <w:jc w:val="both"/>
        <w:rPr>
          <w:rFonts w:eastAsia="Times New Roman" w:cs="Times New Roman"/>
          <w:bCs/>
          <w:szCs w:val="24"/>
          <w:lang w:eastAsia="lt-LT" w:bidi="lt-LT"/>
        </w:rPr>
      </w:pPr>
      <w:bookmarkStart w:id="8" w:name="_Hlk52867202"/>
      <w:r>
        <w:rPr>
          <w:rFonts w:eastAsia="Times New Roman" w:cs="Times New Roman"/>
          <w:bCs/>
          <w:szCs w:val="24"/>
          <w:lang w:eastAsia="lt-LT" w:bidi="lt-LT"/>
        </w:rPr>
        <w:t>Vilniaus apygardos teismas</w:t>
      </w:r>
      <w:r w:rsidR="008F7F94" w:rsidRPr="008F7F94">
        <w:rPr>
          <w:rFonts w:eastAsia="Times New Roman" w:cs="Times New Roman"/>
          <w:bCs/>
          <w:szCs w:val="24"/>
          <w:lang w:eastAsia="lt-LT" w:bidi="lt-LT"/>
        </w:rPr>
        <w:t xml:space="preserve"> 2022 m. </w:t>
      </w:r>
      <w:r>
        <w:rPr>
          <w:rFonts w:eastAsia="Times New Roman" w:cs="Times New Roman"/>
          <w:bCs/>
          <w:szCs w:val="24"/>
          <w:lang w:eastAsia="lt-LT" w:bidi="lt-LT"/>
        </w:rPr>
        <w:t>liepos</w:t>
      </w:r>
      <w:r w:rsidR="009F1B88">
        <w:rPr>
          <w:rFonts w:eastAsia="Times New Roman" w:cs="Times New Roman"/>
          <w:bCs/>
          <w:szCs w:val="24"/>
          <w:lang w:eastAsia="lt-LT" w:bidi="lt-LT"/>
        </w:rPr>
        <w:t xml:space="preserve"> </w:t>
      </w:r>
      <w:r>
        <w:rPr>
          <w:rFonts w:eastAsia="Times New Roman" w:cs="Times New Roman"/>
          <w:bCs/>
          <w:szCs w:val="24"/>
          <w:lang w:eastAsia="lt-LT" w:bidi="lt-LT"/>
        </w:rPr>
        <w:t>21</w:t>
      </w:r>
      <w:r w:rsidR="008F7F94" w:rsidRPr="008F7F94">
        <w:rPr>
          <w:rFonts w:eastAsia="Times New Roman" w:cs="Times New Roman"/>
          <w:bCs/>
          <w:szCs w:val="24"/>
          <w:lang w:eastAsia="lt-LT" w:bidi="lt-LT"/>
        </w:rPr>
        <w:t xml:space="preserve"> d. </w:t>
      </w:r>
      <w:r w:rsidR="008F7F94" w:rsidRPr="006E138E">
        <w:rPr>
          <w:rFonts w:eastAsia="Times New Roman" w:cs="Times New Roman"/>
          <w:bCs/>
          <w:szCs w:val="24"/>
          <w:lang w:eastAsia="lt-LT" w:bidi="lt-LT"/>
        </w:rPr>
        <w:t xml:space="preserve">sprendimu ieškinį </w:t>
      </w:r>
      <w:r w:rsidR="0004290C" w:rsidRPr="006E138E">
        <w:rPr>
          <w:rFonts w:eastAsia="Times New Roman" w:cs="Times New Roman"/>
          <w:bCs/>
          <w:szCs w:val="24"/>
          <w:lang w:eastAsia="lt-LT" w:bidi="lt-LT"/>
        </w:rPr>
        <w:t>tenkino</w:t>
      </w:r>
      <w:r w:rsidR="006C0045">
        <w:rPr>
          <w:rFonts w:eastAsia="Times New Roman" w:cs="Times New Roman"/>
          <w:bCs/>
          <w:szCs w:val="24"/>
          <w:lang w:eastAsia="lt-LT" w:bidi="lt-LT"/>
        </w:rPr>
        <w:t>,</w:t>
      </w:r>
      <w:r w:rsidR="00B43423">
        <w:rPr>
          <w:rFonts w:eastAsia="Times New Roman" w:cs="Times New Roman"/>
          <w:bCs/>
          <w:szCs w:val="24"/>
          <w:lang w:eastAsia="lt-LT" w:bidi="lt-LT"/>
        </w:rPr>
        <w:t xml:space="preserve"> įpareigojo atsakovę pasirašyti su VLK Sutartį dėl </w:t>
      </w:r>
      <w:r w:rsidR="00B43423" w:rsidRPr="00B43423">
        <w:rPr>
          <w:rFonts w:eastAsia="Times New Roman" w:cs="Times New Roman"/>
          <w:bCs/>
          <w:szCs w:val="24"/>
          <w:lang w:eastAsia="lt-LT" w:bidi="lt-LT"/>
        </w:rPr>
        <w:t xml:space="preserve">2020 metų prognozuojamų PSDF biudžeto išlaidų vaistui </w:t>
      </w:r>
      <w:r w:rsidR="00C724C2">
        <w:rPr>
          <w:rFonts w:eastAsia="Times New Roman" w:cs="Times New Roman"/>
          <w:bCs/>
          <w:szCs w:val="24"/>
          <w:lang w:eastAsia="lt-LT" w:bidi="lt-LT"/>
        </w:rPr>
        <w:t>„</w:t>
      </w:r>
      <w:proofErr w:type="spellStart"/>
      <w:r w:rsidR="00B43423" w:rsidRPr="00B43423">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009F1B88">
        <w:rPr>
          <w:rFonts w:eastAsia="Times New Roman" w:cs="Times New Roman"/>
          <w:bCs/>
          <w:szCs w:val="24"/>
          <w:lang w:eastAsia="lt-LT" w:bidi="lt-LT"/>
        </w:rPr>
        <w:t xml:space="preserve"> ir grąžinti 1 516 270,86 Eur į PSDF biudžetą.</w:t>
      </w:r>
    </w:p>
    <w:p w14:paraId="784F53BD" w14:textId="3D0F5269" w:rsidR="0068787A" w:rsidRPr="00D91232" w:rsidRDefault="008F7F94" w:rsidP="006E138E">
      <w:pPr>
        <w:numPr>
          <w:ilvl w:val="0"/>
          <w:numId w:val="1"/>
        </w:numPr>
        <w:spacing w:after="120" w:line="240" w:lineRule="auto"/>
        <w:ind w:left="357" w:hanging="357"/>
        <w:jc w:val="both"/>
        <w:rPr>
          <w:rFonts w:eastAsia="Times New Roman" w:cs="Times New Roman"/>
          <w:bCs/>
          <w:szCs w:val="24"/>
          <w:lang w:eastAsia="lt-LT" w:bidi="lt-LT"/>
        </w:rPr>
      </w:pPr>
      <w:r w:rsidRPr="00D91232">
        <w:rPr>
          <w:rFonts w:eastAsia="Times New Roman" w:cs="Times New Roman"/>
          <w:bCs/>
          <w:szCs w:val="24"/>
          <w:lang w:eastAsia="lt-LT" w:bidi="lt-LT"/>
        </w:rPr>
        <w:t xml:space="preserve">Pirmosios instancijos teismas nustatė, kad </w:t>
      </w:r>
      <w:r w:rsidR="006E138E" w:rsidRPr="00D91232">
        <w:rPr>
          <w:rFonts w:eastAsia="Times New Roman" w:cs="Times New Roman"/>
          <w:bCs/>
          <w:szCs w:val="24"/>
          <w:lang w:eastAsia="lt-LT" w:bidi="lt-LT"/>
        </w:rPr>
        <w:t>sutartis dėl kompensuojamų</w:t>
      </w:r>
      <w:r w:rsidR="00C62116">
        <w:rPr>
          <w:rFonts w:eastAsia="Times New Roman" w:cs="Times New Roman"/>
          <w:bCs/>
          <w:szCs w:val="24"/>
          <w:lang w:eastAsia="lt-LT" w:bidi="lt-LT"/>
        </w:rPr>
        <w:t>jų</w:t>
      </w:r>
      <w:r w:rsidR="006E138E" w:rsidRPr="00D91232">
        <w:rPr>
          <w:rFonts w:eastAsia="Times New Roman" w:cs="Times New Roman"/>
          <w:bCs/>
          <w:szCs w:val="24"/>
          <w:lang w:eastAsia="lt-LT" w:bidi="lt-LT"/>
        </w:rPr>
        <w:t xml:space="preserve"> vaistų sudaroma</w:t>
      </w:r>
      <w:r w:rsidR="008D61EA">
        <w:rPr>
          <w:rFonts w:eastAsia="Times New Roman" w:cs="Times New Roman"/>
          <w:bCs/>
          <w:szCs w:val="24"/>
          <w:lang w:eastAsia="lt-LT" w:bidi="lt-LT"/>
        </w:rPr>
        <w:t>,</w:t>
      </w:r>
      <w:r w:rsidR="006E138E" w:rsidRPr="00D91232">
        <w:rPr>
          <w:rFonts w:eastAsia="Times New Roman" w:cs="Times New Roman"/>
          <w:bCs/>
          <w:szCs w:val="24"/>
          <w:lang w:eastAsia="lt-LT" w:bidi="lt-LT"/>
        </w:rPr>
        <w:t xml:space="preserve"> jei vaistinis preparatas naujai įrašomas į Ligų ir kompensuojamųjų vaistų joms gydyti sąrašą (A</w:t>
      </w:r>
      <w:r w:rsidR="00C724C2">
        <w:rPr>
          <w:rFonts w:eastAsia="Times New Roman" w:cs="Times New Roman"/>
          <w:bCs/>
          <w:szCs w:val="24"/>
          <w:lang w:eastAsia="lt-LT" w:bidi="lt-LT"/>
        </w:rPr>
        <w:t> </w:t>
      </w:r>
      <w:r w:rsidR="006E138E" w:rsidRPr="00D91232">
        <w:rPr>
          <w:rFonts w:eastAsia="Times New Roman" w:cs="Times New Roman"/>
          <w:bCs/>
          <w:szCs w:val="24"/>
          <w:lang w:eastAsia="lt-LT" w:bidi="lt-LT"/>
        </w:rPr>
        <w:t>sąrašą), patvirtintą Lietuvos Respublikos sveikatos apsaugos ministro 2000 m. sausio 28 d. įsakymu Nr. 49 „Dėl kompensuojamųjų vaistų sąrašų patvirtinimo“, ir dėl jo įrašymo didėja PSDF biudžeto išlaidos (Aprašo 3.1, 4.3 punktai).</w:t>
      </w:r>
    </w:p>
    <w:p w14:paraId="164C7AB1" w14:textId="274C75A1" w:rsidR="006E138E" w:rsidRDefault="006E138E" w:rsidP="006E138E">
      <w:pPr>
        <w:numPr>
          <w:ilvl w:val="0"/>
          <w:numId w:val="1"/>
        </w:numPr>
        <w:spacing w:after="120" w:line="240" w:lineRule="auto"/>
        <w:ind w:left="357" w:hanging="357"/>
        <w:jc w:val="both"/>
        <w:rPr>
          <w:rFonts w:eastAsia="Times New Roman" w:cs="Times New Roman"/>
          <w:bCs/>
          <w:szCs w:val="24"/>
          <w:lang w:eastAsia="lt-LT" w:bidi="lt-LT"/>
        </w:rPr>
      </w:pPr>
      <w:r w:rsidRPr="006E138E">
        <w:rPr>
          <w:rFonts w:eastAsia="Times New Roman" w:cs="Times New Roman"/>
          <w:bCs/>
          <w:szCs w:val="24"/>
          <w:lang w:eastAsia="lt-LT" w:bidi="lt-LT"/>
        </w:rPr>
        <w:t>VLK ir atsakovės sudaryt</w:t>
      </w:r>
      <w:r w:rsidR="006C0045">
        <w:rPr>
          <w:rFonts w:eastAsia="Times New Roman" w:cs="Times New Roman"/>
          <w:bCs/>
          <w:szCs w:val="24"/>
          <w:lang w:eastAsia="lt-LT" w:bidi="lt-LT"/>
        </w:rPr>
        <w:t>a</w:t>
      </w:r>
      <w:r w:rsidRPr="006E138E">
        <w:rPr>
          <w:rFonts w:eastAsia="Times New Roman" w:cs="Times New Roman"/>
          <w:bCs/>
          <w:szCs w:val="24"/>
          <w:lang w:eastAsia="lt-LT" w:bidi="lt-LT"/>
        </w:rPr>
        <w:t xml:space="preserve"> </w:t>
      </w:r>
      <w:r>
        <w:rPr>
          <w:rFonts w:eastAsia="Times New Roman" w:cs="Times New Roman"/>
          <w:bCs/>
          <w:szCs w:val="24"/>
          <w:lang w:eastAsia="lt-LT" w:bidi="lt-LT"/>
        </w:rPr>
        <w:t>S</w:t>
      </w:r>
      <w:r w:rsidRPr="006E138E">
        <w:rPr>
          <w:rFonts w:eastAsia="Times New Roman" w:cs="Times New Roman"/>
          <w:bCs/>
          <w:szCs w:val="24"/>
          <w:lang w:eastAsia="lt-LT" w:bidi="lt-LT"/>
        </w:rPr>
        <w:t>utart</w:t>
      </w:r>
      <w:r w:rsidR="006C0045">
        <w:rPr>
          <w:rFonts w:eastAsia="Times New Roman" w:cs="Times New Roman"/>
          <w:bCs/>
          <w:szCs w:val="24"/>
          <w:lang w:eastAsia="lt-LT" w:bidi="lt-LT"/>
        </w:rPr>
        <w:t>imi</w:t>
      </w:r>
      <w:r w:rsidRPr="006E138E">
        <w:rPr>
          <w:rFonts w:eastAsia="Times New Roman" w:cs="Times New Roman"/>
          <w:bCs/>
          <w:szCs w:val="24"/>
          <w:lang w:eastAsia="lt-LT" w:bidi="lt-LT"/>
        </w:rPr>
        <w:t xml:space="preserve"> šalys susitarė dėl vaisto grupės </w:t>
      </w:r>
      <w:r w:rsidR="00BF31C7">
        <w:rPr>
          <w:rFonts w:eastAsia="Times New Roman" w:cs="Times New Roman"/>
          <w:bCs/>
          <w:szCs w:val="24"/>
          <w:lang w:eastAsia="lt-LT" w:bidi="lt-LT"/>
        </w:rPr>
        <w:t>„</w:t>
      </w:r>
      <w:proofErr w:type="spellStart"/>
      <w:r w:rsidRPr="006E138E">
        <w:rPr>
          <w:rFonts w:eastAsia="Times New Roman" w:cs="Times New Roman"/>
          <w:bCs/>
          <w:szCs w:val="24"/>
          <w:lang w:eastAsia="lt-LT" w:bidi="lt-LT"/>
        </w:rPr>
        <w:t>Ranolazinum</w:t>
      </w:r>
      <w:proofErr w:type="spellEnd"/>
      <w:r w:rsidR="00BF31C7">
        <w:rPr>
          <w:rFonts w:eastAsia="Times New Roman" w:cs="Times New Roman"/>
          <w:bCs/>
          <w:szCs w:val="24"/>
          <w:lang w:eastAsia="lt-LT" w:bidi="lt-LT"/>
        </w:rPr>
        <w:t>“</w:t>
      </w:r>
      <w:r w:rsidRPr="006E138E">
        <w:rPr>
          <w:rFonts w:eastAsia="Times New Roman" w:cs="Times New Roman"/>
          <w:bCs/>
          <w:szCs w:val="24"/>
          <w:lang w:eastAsia="lt-LT" w:bidi="lt-LT"/>
        </w:rPr>
        <w:t xml:space="preserve">, kurio įsigijimo išlaidos kompensuojamos </w:t>
      </w:r>
      <w:r w:rsidRPr="00843D87">
        <w:rPr>
          <w:rFonts w:eastAsia="Times New Roman" w:cs="Times New Roman"/>
          <w:bCs/>
          <w:szCs w:val="24"/>
          <w:lang w:eastAsia="lt-LT" w:bidi="lt-LT"/>
        </w:rPr>
        <w:t>i</w:t>
      </w:r>
      <w:r w:rsidR="008D61EA" w:rsidRPr="00843D87">
        <w:rPr>
          <w:rFonts w:eastAsia="Times New Roman" w:cs="Times New Roman"/>
          <w:bCs/>
          <w:szCs w:val="24"/>
          <w:lang w:eastAsia="lt-LT" w:bidi="lt-LT"/>
        </w:rPr>
        <w:t>š</w:t>
      </w:r>
      <w:r w:rsidRPr="006E138E">
        <w:rPr>
          <w:rFonts w:eastAsia="Times New Roman" w:cs="Times New Roman"/>
          <w:bCs/>
          <w:szCs w:val="24"/>
          <w:lang w:eastAsia="lt-LT" w:bidi="lt-LT"/>
        </w:rPr>
        <w:t xml:space="preserve"> PSDF biudžeto lėšų teisės aktų nustatyta tvarka. Šalys sulygo, kad finansinę riziką pasidal</w:t>
      </w:r>
      <w:r w:rsidR="004732D4">
        <w:rPr>
          <w:rFonts w:eastAsia="Times New Roman" w:cs="Times New Roman"/>
          <w:bCs/>
          <w:szCs w:val="24"/>
          <w:lang w:eastAsia="lt-LT" w:bidi="lt-LT"/>
        </w:rPr>
        <w:t>y</w:t>
      </w:r>
      <w:r w:rsidRPr="006E138E">
        <w:rPr>
          <w:rFonts w:eastAsia="Times New Roman" w:cs="Times New Roman"/>
          <w:bCs/>
          <w:szCs w:val="24"/>
          <w:lang w:eastAsia="lt-LT" w:bidi="lt-LT"/>
        </w:rPr>
        <w:t xml:space="preserve">s pagal </w:t>
      </w:r>
      <w:r>
        <w:rPr>
          <w:rFonts w:eastAsia="Times New Roman" w:cs="Times New Roman"/>
          <w:bCs/>
          <w:szCs w:val="24"/>
          <w:lang w:eastAsia="lt-LT" w:bidi="lt-LT"/>
        </w:rPr>
        <w:t>S</w:t>
      </w:r>
      <w:r w:rsidRPr="006E138E">
        <w:rPr>
          <w:rFonts w:eastAsia="Times New Roman" w:cs="Times New Roman"/>
          <w:bCs/>
          <w:szCs w:val="24"/>
          <w:lang w:eastAsia="lt-LT" w:bidi="lt-LT"/>
        </w:rPr>
        <w:t>utarties 1.3</w:t>
      </w:r>
      <w:r>
        <w:rPr>
          <w:rFonts w:eastAsia="Times New Roman" w:cs="Times New Roman"/>
          <w:bCs/>
          <w:szCs w:val="24"/>
          <w:lang w:eastAsia="lt-LT" w:bidi="lt-LT"/>
        </w:rPr>
        <w:t xml:space="preserve"> punkte</w:t>
      </w:r>
      <w:r w:rsidRPr="006E138E">
        <w:rPr>
          <w:rFonts w:eastAsia="Times New Roman" w:cs="Times New Roman"/>
          <w:bCs/>
          <w:szCs w:val="24"/>
          <w:lang w:eastAsia="lt-LT" w:bidi="lt-LT"/>
        </w:rPr>
        <w:t xml:space="preserve"> nu</w:t>
      </w:r>
      <w:r w:rsidR="00BF31C7">
        <w:rPr>
          <w:rFonts w:eastAsia="Times New Roman" w:cs="Times New Roman"/>
          <w:bCs/>
          <w:szCs w:val="24"/>
          <w:lang w:eastAsia="lt-LT" w:bidi="lt-LT"/>
        </w:rPr>
        <w:t>rod</w:t>
      </w:r>
      <w:r w:rsidRPr="006E138E">
        <w:rPr>
          <w:rFonts w:eastAsia="Times New Roman" w:cs="Times New Roman"/>
          <w:bCs/>
          <w:szCs w:val="24"/>
          <w:lang w:eastAsia="lt-LT" w:bidi="lt-LT"/>
        </w:rPr>
        <w:t>omą finansinį rezultatą (Sutarties 1.2</w:t>
      </w:r>
      <w:r w:rsidR="00C724C2">
        <w:rPr>
          <w:rFonts w:eastAsia="Times New Roman" w:cs="Times New Roman"/>
          <w:bCs/>
          <w:szCs w:val="24"/>
          <w:lang w:eastAsia="lt-LT" w:bidi="lt-LT"/>
        </w:rPr>
        <w:t> </w:t>
      </w:r>
      <w:r w:rsidRPr="006E138E">
        <w:rPr>
          <w:rFonts w:eastAsia="Times New Roman" w:cs="Times New Roman"/>
          <w:bCs/>
          <w:szCs w:val="24"/>
          <w:lang w:eastAsia="lt-LT" w:bidi="lt-LT"/>
        </w:rPr>
        <w:t xml:space="preserve">punktas). </w:t>
      </w:r>
      <w:r w:rsidRPr="00843D87">
        <w:rPr>
          <w:rFonts w:eastAsia="Times New Roman" w:cs="Times New Roman"/>
          <w:bCs/>
          <w:szCs w:val="24"/>
          <w:lang w:eastAsia="lt-LT" w:bidi="lt-LT"/>
        </w:rPr>
        <w:t>Sutarties 1.3</w:t>
      </w:r>
      <w:r w:rsidR="006C0045">
        <w:rPr>
          <w:rFonts w:eastAsia="Times New Roman" w:cs="Times New Roman"/>
          <w:bCs/>
          <w:szCs w:val="24"/>
          <w:lang w:eastAsia="lt-LT" w:bidi="lt-LT"/>
        </w:rPr>
        <w:t xml:space="preserve"> </w:t>
      </w:r>
      <w:r w:rsidRPr="00843D87">
        <w:rPr>
          <w:rFonts w:eastAsia="Times New Roman" w:cs="Times New Roman"/>
          <w:bCs/>
          <w:szCs w:val="24"/>
          <w:lang w:eastAsia="lt-LT" w:bidi="lt-LT"/>
        </w:rPr>
        <w:t xml:space="preserve">punktu šalys sulygo, kad atsakovė </w:t>
      </w:r>
      <w:r w:rsidR="00D91232" w:rsidRPr="00843D87">
        <w:rPr>
          <w:rFonts w:eastAsia="Times New Roman" w:cs="Times New Roman"/>
          <w:bCs/>
          <w:szCs w:val="24"/>
          <w:lang w:eastAsia="lt-LT" w:bidi="lt-LT"/>
        </w:rPr>
        <w:t>S</w:t>
      </w:r>
      <w:r w:rsidRPr="00843D87">
        <w:rPr>
          <w:rFonts w:eastAsia="Times New Roman" w:cs="Times New Roman"/>
          <w:bCs/>
          <w:szCs w:val="24"/>
          <w:lang w:eastAsia="lt-LT" w:bidi="lt-LT"/>
        </w:rPr>
        <w:t xml:space="preserve">utarties nustatytais atvejais, tvarka ir sąlygomis įsipareigoja sumokėti </w:t>
      </w:r>
      <w:r w:rsidR="00D91232" w:rsidRPr="00843D87">
        <w:rPr>
          <w:rFonts w:eastAsia="Times New Roman" w:cs="Times New Roman"/>
          <w:bCs/>
          <w:szCs w:val="24"/>
          <w:lang w:eastAsia="lt-LT" w:bidi="lt-LT"/>
        </w:rPr>
        <w:t>S</w:t>
      </w:r>
      <w:r w:rsidRPr="00843D87">
        <w:rPr>
          <w:rFonts w:eastAsia="Times New Roman" w:cs="Times New Roman"/>
          <w:bCs/>
          <w:szCs w:val="24"/>
          <w:lang w:eastAsia="lt-LT" w:bidi="lt-LT"/>
        </w:rPr>
        <w:t>utarties galiojimo laikotarpiu apdraustie</w:t>
      </w:r>
      <w:r w:rsidR="001A2E00">
        <w:rPr>
          <w:rFonts w:eastAsia="Times New Roman" w:cs="Times New Roman"/>
          <w:bCs/>
          <w:szCs w:val="24"/>
          <w:lang w:eastAsia="lt-LT" w:bidi="lt-LT"/>
        </w:rPr>
        <w:t>ms asmenims</w:t>
      </w:r>
      <w:r w:rsidRPr="00843D87">
        <w:rPr>
          <w:rFonts w:eastAsia="Times New Roman" w:cs="Times New Roman"/>
          <w:bCs/>
          <w:szCs w:val="24"/>
          <w:lang w:eastAsia="lt-LT" w:bidi="lt-LT"/>
        </w:rPr>
        <w:t xml:space="preserve"> parduotų vaistų </w:t>
      </w:r>
      <w:r w:rsidR="00C724C2">
        <w:rPr>
          <w:rFonts w:eastAsia="Times New Roman" w:cs="Times New Roman"/>
          <w:bCs/>
          <w:szCs w:val="24"/>
          <w:lang w:eastAsia="lt-LT" w:bidi="lt-LT"/>
        </w:rPr>
        <w:t>„</w:t>
      </w:r>
      <w:proofErr w:type="spellStart"/>
      <w:r w:rsidRPr="00843D87">
        <w:rPr>
          <w:rFonts w:eastAsia="Times New Roman" w:cs="Times New Roman"/>
          <w:bCs/>
          <w:szCs w:val="24"/>
          <w:lang w:eastAsia="lt-LT" w:bidi="lt-LT"/>
        </w:rPr>
        <w:t>Ranolazinum</w:t>
      </w:r>
      <w:proofErr w:type="spellEnd"/>
      <w:r w:rsidR="00C724C2">
        <w:rPr>
          <w:rFonts w:eastAsia="Times New Roman" w:cs="Times New Roman"/>
          <w:bCs/>
          <w:szCs w:val="24"/>
          <w:lang w:eastAsia="lt-LT" w:bidi="lt-LT"/>
        </w:rPr>
        <w:t>“</w:t>
      </w:r>
      <w:r w:rsidRPr="00843D87">
        <w:rPr>
          <w:rFonts w:eastAsia="Times New Roman" w:cs="Times New Roman"/>
          <w:bCs/>
          <w:szCs w:val="24"/>
          <w:lang w:eastAsia="lt-LT" w:bidi="lt-LT"/>
        </w:rPr>
        <w:t xml:space="preserve"> iš PSDF biudžeto lėšų faktiškai apmokėtą kompensuojamą</w:t>
      </w:r>
      <w:r w:rsidR="00843D87" w:rsidRPr="00843D87">
        <w:rPr>
          <w:rFonts w:eastAsia="Times New Roman" w:cs="Times New Roman"/>
          <w:bCs/>
          <w:szCs w:val="24"/>
          <w:lang w:eastAsia="lt-LT" w:bidi="lt-LT"/>
        </w:rPr>
        <w:t>ją</w:t>
      </w:r>
      <w:r w:rsidRPr="00843D87">
        <w:rPr>
          <w:rFonts w:eastAsia="Times New Roman" w:cs="Times New Roman"/>
          <w:bCs/>
          <w:szCs w:val="24"/>
          <w:lang w:eastAsia="lt-LT" w:bidi="lt-LT"/>
        </w:rPr>
        <w:t xml:space="preserve"> sumą, kuri faktiškai viršijo </w:t>
      </w:r>
      <w:r w:rsidR="008908BF">
        <w:rPr>
          <w:rFonts w:eastAsia="Times New Roman" w:cs="Times New Roman"/>
          <w:bCs/>
          <w:szCs w:val="24"/>
          <w:lang w:eastAsia="lt-LT" w:bidi="lt-LT"/>
        </w:rPr>
        <w:t xml:space="preserve">Sutarties </w:t>
      </w:r>
      <w:r w:rsidRPr="00843D87">
        <w:rPr>
          <w:rFonts w:eastAsia="Times New Roman" w:cs="Times New Roman"/>
          <w:bCs/>
          <w:szCs w:val="24"/>
          <w:lang w:eastAsia="lt-LT" w:bidi="lt-LT"/>
        </w:rPr>
        <w:t>priede „Vaisto prognozuojama PSDF biudžeto išlaidų suma 2015</w:t>
      </w:r>
      <w:r w:rsidR="00C724C2">
        <w:rPr>
          <w:rFonts w:eastAsia="Times New Roman" w:cs="Times New Roman"/>
          <w:bCs/>
          <w:szCs w:val="24"/>
          <w:lang w:eastAsia="lt-LT" w:bidi="lt-LT"/>
        </w:rPr>
        <w:t>–</w:t>
      </w:r>
      <w:r w:rsidRPr="00843D87">
        <w:rPr>
          <w:rFonts w:eastAsia="Times New Roman" w:cs="Times New Roman"/>
          <w:bCs/>
          <w:szCs w:val="24"/>
          <w:lang w:eastAsia="lt-LT" w:bidi="lt-LT"/>
        </w:rPr>
        <w:t>2017</w:t>
      </w:r>
      <w:r w:rsidR="00C724C2">
        <w:rPr>
          <w:rFonts w:eastAsia="Times New Roman" w:cs="Times New Roman"/>
          <w:bCs/>
          <w:szCs w:val="24"/>
          <w:lang w:eastAsia="lt-LT" w:bidi="lt-LT"/>
        </w:rPr>
        <w:t> </w:t>
      </w:r>
      <w:r w:rsidRPr="00843D87">
        <w:rPr>
          <w:rFonts w:eastAsia="Times New Roman" w:cs="Times New Roman"/>
          <w:bCs/>
          <w:szCs w:val="24"/>
          <w:lang w:eastAsia="lt-LT" w:bidi="lt-LT"/>
        </w:rPr>
        <w:t>metams</w:t>
      </w:r>
      <w:r w:rsidR="00C724C2">
        <w:rPr>
          <w:rFonts w:eastAsia="Times New Roman" w:cs="Times New Roman"/>
          <w:bCs/>
          <w:szCs w:val="24"/>
          <w:lang w:eastAsia="lt-LT" w:bidi="lt-LT"/>
        </w:rPr>
        <w:t>“</w:t>
      </w:r>
      <w:r w:rsidRPr="00843D87">
        <w:rPr>
          <w:rFonts w:eastAsia="Times New Roman" w:cs="Times New Roman"/>
          <w:bCs/>
          <w:szCs w:val="24"/>
          <w:lang w:eastAsia="lt-LT" w:bidi="lt-LT"/>
        </w:rPr>
        <w:t xml:space="preserve"> nustatytą sumą</w:t>
      </w:r>
      <w:r w:rsidR="00D91232" w:rsidRPr="00843D87">
        <w:rPr>
          <w:rFonts w:eastAsia="Times New Roman" w:cs="Times New Roman"/>
          <w:bCs/>
          <w:szCs w:val="24"/>
          <w:lang w:eastAsia="lt-LT" w:bidi="lt-LT"/>
        </w:rPr>
        <w:t>.</w:t>
      </w:r>
    </w:p>
    <w:p w14:paraId="0F0B83B0" w14:textId="09867FCD" w:rsidR="00D91232" w:rsidRDefault="00D91232"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teismas nustatė, kad š</w:t>
      </w:r>
      <w:r w:rsidRPr="00D91232">
        <w:rPr>
          <w:rFonts w:eastAsia="Times New Roman" w:cs="Times New Roman"/>
          <w:bCs/>
          <w:szCs w:val="24"/>
          <w:lang w:eastAsia="lt-LT" w:bidi="lt-LT"/>
        </w:rPr>
        <w:t xml:space="preserve">alys susitarė, </w:t>
      </w:r>
      <w:r>
        <w:rPr>
          <w:rFonts w:eastAsia="Times New Roman" w:cs="Times New Roman"/>
          <w:bCs/>
          <w:szCs w:val="24"/>
          <w:lang w:eastAsia="lt-LT" w:bidi="lt-LT"/>
        </w:rPr>
        <w:t>jog</w:t>
      </w:r>
      <w:r w:rsidRPr="00D91232">
        <w:rPr>
          <w:rFonts w:eastAsia="Times New Roman" w:cs="Times New Roman"/>
          <w:bCs/>
          <w:szCs w:val="24"/>
          <w:lang w:eastAsia="lt-LT" w:bidi="lt-LT"/>
        </w:rPr>
        <w:t xml:space="preserve"> Sutartis </w:t>
      </w:r>
      <w:r w:rsidR="004732D4">
        <w:rPr>
          <w:rFonts w:eastAsia="Times New Roman" w:cs="Times New Roman"/>
          <w:bCs/>
          <w:szCs w:val="24"/>
          <w:lang w:eastAsia="lt-LT" w:bidi="lt-LT"/>
        </w:rPr>
        <w:t>įsi</w:t>
      </w:r>
      <w:r w:rsidRPr="00D91232">
        <w:rPr>
          <w:rFonts w:eastAsia="Times New Roman" w:cs="Times New Roman"/>
          <w:bCs/>
          <w:szCs w:val="24"/>
          <w:lang w:eastAsia="lt-LT" w:bidi="lt-LT"/>
        </w:rPr>
        <w:t xml:space="preserve">galioja nuo pasirašymo dienos ir galioja iki </w:t>
      </w:r>
      <w:proofErr w:type="spellStart"/>
      <w:r w:rsidRPr="00D91232">
        <w:rPr>
          <w:rFonts w:eastAsia="Times New Roman" w:cs="Times New Roman"/>
          <w:bCs/>
          <w:szCs w:val="24"/>
          <w:lang w:eastAsia="lt-LT" w:bidi="lt-LT"/>
        </w:rPr>
        <w:t>generinio</w:t>
      </w:r>
      <w:proofErr w:type="spellEnd"/>
      <w:r w:rsidRPr="00D91232">
        <w:rPr>
          <w:rFonts w:eastAsia="Times New Roman" w:cs="Times New Roman"/>
          <w:bCs/>
          <w:szCs w:val="24"/>
          <w:lang w:eastAsia="lt-LT" w:bidi="lt-LT"/>
        </w:rPr>
        <w:t xml:space="preserve"> vaisto įrašymo į tą pačią </w:t>
      </w:r>
      <w:r w:rsidR="004732D4" w:rsidRPr="00D91232">
        <w:rPr>
          <w:rFonts w:eastAsia="Times New Roman" w:cs="Times New Roman"/>
          <w:bCs/>
          <w:szCs w:val="24"/>
          <w:lang w:eastAsia="lt-LT" w:bidi="lt-LT"/>
        </w:rPr>
        <w:t xml:space="preserve">kainyno </w:t>
      </w:r>
      <w:r w:rsidRPr="00D91232">
        <w:rPr>
          <w:rFonts w:eastAsia="Times New Roman" w:cs="Times New Roman"/>
          <w:bCs/>
          <w:szCs w:val="24"/>
          <w:lang w:eastAsia="lt-LT" w:bidi="lt-LT"/>
        </w:rPr>
        <w:t>vaistų grupę (Sutarties 4.5</w:t>
      </w:r>
      <w:r w:rsidR="00C724C2">
        <w:rPr>
          <w:rFonts w:eastAsia="Times New Roman" w:cs="Times New Roman"/>
          <w:bCs/>
          <w:szCs w:val="24"/>
          <w:lang w:eastAsia="lt-LT" w:bidi="lt-LT"/>
        </w:rPr>
        <w:t> </w:t>
      </w:r>
      <w:r w:rsidRPr="00D91232">
        <w:rPr>
          <w:rFonts w:eastAsia="Times New Roman" w:cs="Times New Roman"/>
          <w:bCs/>
          <w:szCs w:val="24"/>
          <w:lang w:eastAsia="lt-LT" w:bidi="lt-LT"/>
        </w:rPr>
        <w:t xml:space="preserve">punktas). Sutartyje nustatyta 2015 m. gegužės 1 d. – 2015 m. gruodžio 31 d., 2016 m. ir </w:t>
      </w:r>
      <w:r w:rsidRPr="00D91232">
        <w:rPr>
          <w:rFonts w:eastAsia="Times New Roman" w:cs="Times New Roman"/>
          <w:bCs/>
          <w:szCs w:val="24"/>
          <w:lang w:eastAsia="lt-LT" w:bidi="lt-LT"/>
        </w:rPr>
        <w:lastRenderedPageBreak/>
        <w:t>2017</w:t>
      </w:r>
      <w:r w:rsidR="00C724C2">
        <w:rPr>
          <w:rFonts w:eastAsia="Times New Roman" w:cs="Times New Roman"/>
          <w:bCs/>
          <w:szCs w:val="24"/>
          <w:lang w:eastAsia="lt-LT" w:bidi="lt-LT"/>
        </w:rPr>
        <w:t> </w:t>
      </w:r>
      <w:r w:rsidRPr="00D91232">
        <w:rPr>
          <w:rFonts w:eastAsia="Times New Roman" w:cs="Times New Roman"/>
          <w:bCs/>
          <w:szCs w:val="24"/>
          <w:lang w:eastAsia="lt-LT" w:bidi="lt-LT"/>
        </w:rPr>
        <w:t xml:space="preserve">m. laikotarpio prognozuojama PSDF biudžeto išlaidų suma vaistui. Šalys susitarė, kad vėlesniems metams prognozuojama PSDF biudžeto išlaidų suma </w:t>
      </w:r>
      <w:r w:rsidR="004732D4" w:rsidRPr="00D91232">
        <w:rPr>
          <w:rFonts w:eastAsia="Times New Roman" w:cs="Times New Roman"/>
          <w:bCs/>
          <w:szCs w:val="24"/>
          <w:lang w:eastAsia="lt-LT" w:bidi="lt-LT"/>
        </w:rPr>
        <w:t>vaist</w:t>
      </w:r>
      <w:r w:rsidR="004732D4">
        <w:rPr>
          <w:rFonts w:eastAsia="Times New Roman" w:cs="Times New Roman"/>
          <w:bCs/>
          <w:szCs w:val="24"/>
          <w:lang w:eastAsia="lt-LT" w:bidi="lt-LT"/>
        </w:rPr>
        <w:t>ui</w:t>
      </w:r>
      <w:r w:rsidR="004732D4" w:rsidRPr="00D91232">
        <w:rPr>
          <w:rFonts w:eastAsia="Times New Roman" w:cs="Times New Roman"/>
          <w:bCs/>
          <w:szCs w:val="24"/>
          <w:lang w:eastAsia="lt-LT" w:bidi="lt-LT"/>
        </w:rPr>
        <w:t xml:space="preserve"> </w:t>
      </w:r>
      <w:r w:rsidRPr="00D91232">
        <w:rPr>
          <w:rFonts w:eastAsia="Times New Roman" w:cs="Times New Roman"/>
          <w:bCs/>
          <w:szCs w:val="24"/>
          <w:lang w:eastAsia="lt-LT" w:bidi="lt-LT"/>
        </w:rPr>
        <w:t>bus nustatoma iš naujo (Sutarties 4.6 punktas)</w:t>
      </w:r>
      <w:r>
        <w:rPr>
          <w:rFonts w:eastAsia="Times New Roman" w:cs="Times New Roman"/>
          <w:bCs/>
          <w:szCs w:val="24"/>
          <w:lang w:eastAsia="lt-LT" w:bidi="lt-LT"/>
        </w:rPr>
        <w:t>.</w:t>
      </w:r>
    </w:p>
    <w:p w14:paraId="47C7B0EF" w14:textId="41F07097" w:rsidR="000A634C" w:rsidRDefault="000A634C"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Pirmosios instancijos teismas </w:t>
      </w:r>
      <w:r w:rsidR="00BF31C7">
        <w:rPr>
          <w:rFonts w:eastAsia="Times New Roman" w:cs="Times New Roman"/>
          <w:bCs/>
          <w:szCs w:val="24"/>
          <w:lang w:eastAsia="lt-LT" w:bidi="lt-LT"/>
        </w:rPr>
        <w:t>nu</w:t>
      </w:r>
      <w:r>
        <w:rPr>
          <w:rFonts w:eastAsia="Times New Roman" w:cs="Times New Roman"/>
          <w:bCs/>
          <w:szCs w:val="24"/>
          <w:lang w:eastAsia="lt-LT" w:bidi="lt-LT"/>
        </w:rPr>
        <w:t xml:space="preserve">sprendė, kad </w:t>
      </w:r>
      <w:r w:rsidRPr="000A634C">
        <w:rPr>
          <w:rFonts w:eastAsia="Times New Roman" w:cs="Times New Roman"/>
          <w:bCs/>
          <w:szCs w:val="24"/>
          <w:lang w:eastAsia="lt-LT" w:bidi="lt-LT"/>
        </w:rPr>
        <w:t>tiek teisinis reguliavimas, tiek faktinės bylos aplinkybės</w:t>
      </w:r>
      <w:r w:rsidR="009F1B88">
        <w:rPr>
          <w:rFonts w:eastAsia="Times New Roman" w:cs="Times New Roman"/>
          <w:bCs/>
          <w:szCs w:val="24"/>
          <w:lang w:eastAsia="lt-LT" w:bidi="lt-LT"/>
        </w:rPr>
        <w:t xml:space="preserve"> </w:t>
      </w:r>
      <w:r w:rsidRPr="000A634C">
        <w:rPr>
          <w:rFonts w:eastAsia="Times New Roman" w:cs="Times New Roman"/>
          <w:bCs/>
          <w:szCs w:val="24"/>
          <w:lang w:eastAsia="lt-LT" w:bidi="lt-LT"/>
        </w:rPr>
        <w:t>l</w:t>
      </w:r>
      <w:r>
        <w:rPr>
          <w:rFonts w:eastAsia="Times New Roman" w:cs="Times New Roman"/>
          <w:bCs/>
          <w:szCs w:val="24"/>
          <w:lang w:eastAsia="lt-LT" w:bidi="lt-LT"/>
        </w:rPr>
        <w:t>emia</w:t>
      </w:r>
      <w:r w:rsidRPr="000A634C">
        <w:rPr>
          <w:rFonts w:eastAsia="Times New Roman" w:cs="Times New Roman"/>
          <w:bCs/>
          <w:szCs w:val="24"/>
          <w:lang w:eastAsia="lt-LT" w:bidi="lt-LT"/>
        </w:rPr>
        <w:t xml:space="preserve"> išvadą, </w:t>
      </w:r>
      <w:r w:rsidR="00BF31C7">
        <w:rPr>
          <w:rFonts w:eastAsia="Times New Roman" w:cs="Times New Roman"/>
          <w:bCs/>
          <w:szCs w:val="24"/>
          <w:lang w:eastAsia="lt-LT" w:bidi="lt-LT"/>
        </w:rPr>
        <w:t>jog</w:t>
      </w:r>
      <w:r w:rsidRPr="000A634C">
        <w:rPr>
          <w:rFonts w:eastAsia="Times New Roman" w:cs="Times New Roman"/>
          <w:bCs/>
          <w:szCs w:val="24"/>
          <w:lang w:eastAsia="lt-LT" w:bidi="lt-LT"/>
        </w:rPr>
        <w:t xml:space="preserve"> vaistinio preparato įtraukimas į kompensuojamų</w:t>
      </w:r>
      <w:r w:rsidR="00C62116">
        <w:rPr>
          <w:rFonts w:eastAsia="Times New Roman" w:cs="Times New Roman"/>
          <w:bCs/>
          <w:szCs w:val="24"/>
          <w:lang w:eastAsia="lt-LT" w:bidi="lt-LT"/>
        </w:rPr>
        <w:t>jų</w:t>
      </w:r>
      <w:r w:rsidRPr="000A634C">
        <w:rPr>
          <w:rFonts w:eastAsia="Times New Roman" w:cs="Times New Roman"/>
          <w:bCs/>
          <w:szCs w:val="24"/>
          <w:lang w:eastAsia="lt-LT" w:bidi="lt-LT"/>
        </w:rPr>
        <w:t xml:space="preserve"> vaistų sąrašą yra tiesiogiai siejamas su tuo</w:t>
      </w:r>
      <w:r>
        <w:rPr>
          <w:rFonts w:eastAsia="Times New Roman" w:cs="Times New Roman"/>
          <w:bCs/>
          <w:szCs w:val="24"/>
          <w:lang w:eastAsia="lt-LT" w:bidi="lt-LT"/>
        </w:rPr>
        <w:t>,</w:t>
      </w:r>
      <w:r w:rsidRPr="000A634C">
        <w:rPr>
          <w:rFonts w:eastAsia="Times New Roman" w:cs="Times New Roman"/>
          <w:bCs/>
          <w:szCs w:val="24"/>
          <w:lang w:eastAsia="lt-LT" w:bidi="lt-LT"/>
        </w:rPr>
        <w:t xml:space="preserve"> ar yra pasirašoma sutartis dėl rizikos pasidali</w:t>
      </w:r>
      <w:r w:rsidR="00C62116">
        <w:rPr>
          <w:rFonts w:eastAsia="Times New Roman" w:cs="Times New Roman"/>
          <w:bCs/>
          <w:szCs w:val="24"/>
          <w:lang w:eastAsia="lt-LT" w:bidi="lt-LT"/>
        </w:rPr>
        <w:t>jimo</w:t>
      </w:r>
      <w:r w:rsidRPr="000A634C">
        <w:rPr>
          <w:rFonts w:eastAsia="Times New Roman" w:cs="Times New Roman"/>
          <w:bCs/>
          <w:szCs w:val="24"/>
          <w:lang w:eastAsia="lt-LT" w:bidi="lt-LT"/>
        </w:rPr>
        <w:t>. Tokia situacija susiklostė ir šio ginčo atveju, t. y. pirma buvo pasirašyta Sutartis ir tik po to vaistinis preparatas įtrauktas į A sąrašą bei į kainyną</w:t>
      </w:r>
      <w:r>
        <w:rPr>
          <w:rFonts w:eastAsia="Times New Roman" w:cs="Times New Roman"/>
          <w:bCs/>
          <w:szCs w:val="24"/>
          <w:lang w:eastAsia="lt-LT" w:bidi="lt-LT"/>
        </w:rPr>
        <w:t>.</w:t>
      </w:r>
    </w:p>
    <w:p w14:paraId="52DB8AED" w14:textId="42C30850" w:rsidR="000A634C" w:rsidRDefault="000A634C"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w:t>
      </w:r>
      <w:r w:rsidRPr="000A634C">
        <w:rPr>
          <w:rFonts w:eastAsia="Times New Roman" w:cs="Times New Roman"/>
          <w:bCs/>
          <w:szCs w:val="24"/>
          <w:lang w:eastAsia="lt-LT" w:bidi="lt-LT"/>
        </w:rPr>
        <w:t>eismo vertinimu, pagal nurodytą teisinį reguliavimą, tais atvejais</w:t>
      </w:r>
      <w:r w:rsidR="00C62116">
        <w:rPr>
          <w:rFonts w:eastAsia="Times New Roman" w:cs="Times New Roman"/>
          <w:bCs/>
          <w:szCs w:val="24"/>
          <w:lang w:eastAsia="lt-LT" w:bidi="lt-LT"/>
        </w:rPr>
        <w:t>,</w:t>
      </w:r>
      <w:r w:rsidRPr="000A634C">
        <w:rPr>
          <w:rFonts w:eastAsia="Times New Roman" w:cs="Times New Roman"/>
          <w:bCs/>
          <w:szCs w:val="24"/>
          <w:lang w:eastAsia="lt-LT" w:bidi="lt-LT"/>
        </w:rPr>
        <w:t xml:space="preserve"> kai gamintojo gaminamas vaistas įtrauktas į </w:t>
      </w:r>
      <w:r w:rsidR="008908BF">
        <w:rPr>
          <w:rFonts w:eastAsia="Times New Roman" w:cs="Times New Roman"/>
          <w:bCs/>
          <w:szCs w:val="24"/>
          <w:lang w:eastAsia="lt-LT" w:bidi="lt-LT"/>
        </w:rPr>
        <w:t>k</w:t>
      </w:r>
      <w:r w:rsidRPr="000A634C">
        <w:rPr>
          <w:rFonts w:eastAsia="Times New Roman" w:cs="Times New Roman"/>
          <w:bCs/>
          <w:szCs w:val="24"/>
          <w:lang w:eastAsia="lt-LT" w:bidi="lt-LT"/>
        </w:rPr>
        <w:t>ompensuojamų</w:t>
      </w:r>
      <w:r w:rsidR="00B77716">
        <w:rPr>
          <w:rFonts w:eastAsia="Times New Roman" w:cs="Times New Roman"/>
          <w:bCs/>
          <w:szCs w:val="24"/>
          <w:lang w:eastAsia="lt-LT" w:bidi="lt-LT"/>
        </w:rPr>
        <w:t>jų</w:t>
      </w:r>
      <w:r w:rsidRPr="000A634C">
        <w:rPr>
          <w:rFonts w:eastAsia="Times New Roman" w:cs="Times New Roman"/>
          <w:bCs/>
          <w:szCs w:val="24"/>
          <w:lang w:eastAsia="lt-LT" w:bidi="lt-LT"/>
        </w:rPr>
        <w:t xml:space="preserve"> vaistų sąrašą ir dėl jo įrašymo didėja PSDF biudžeto išlaidos, gamintojas negali dalyvauti </w:t>
      </w:r>
      <w:r w:rsidR="008908BF">
        <w:rPr>
          <w:rFonts w:eastAsia="Times New Roman" w:cs="Times New Roman"/>
          <w:bCs/>
          <w:szCs w:val="24"/>
          <w:lang w:eastAsia="lt-LT" w:bidi="lt-LT"/>
        </w:rPr>
        <w:t>k</w:t>
      </w:r>
      <w:r w:rsidRPr="000A634C">
        <w:rPr>
          <w:rFonts w:eastAsia="Times New Roman" w:cs="Times New Roman"/>
          <w:bCs/>
          <w:szCs w:val="24"/>
          <w:lang w:eastAsia="lt-LT" w:bidi="lt-LT"/>
        </w:rPr>
        <w:t>ompensuojamų</w:t>
      </w:r>
      <w:r w:rsidR="00843D87">
        <w:rPr>
          <w:rFonts w:eastAsia="Times New Roman" w:cs="Times New Roman"/>
          <w:bCs/>
          <w:szCs w:val="24"/>
          <w:lang w:eastAsia="lt-LT" w:bidi="lt-LT"/>
        </w:rPr>
        <w:t>jų</w:t>
      </w:r>
      <w:r w:rsidRPr="000A634C">
        <w:rPr>
          <w:rFonts w:eastAsia="Times New Roman" w:cs="Times New Roman"/>
          <w:bCs/>
          <w:szCs w:val="24"/>
          <w:lang w:eastAsia="lt-LT" w:bidi="lt-LT"/>
        </w:rPr>
        <w:t xml:space="preserve"> vaistų t</w:t>
      </w:r>
      <w:r>
        <w:rPr>
          <w:rFonts w:eastAsia="Times New Roman" w:cs="Times New Roman"/>
          <w:bCs/>
          <w:szCs w:val="24"/>
          <w:lang w:eastAsia="lt-LT" w:bidi="lt-LT"/>
        </w:rPr>
        <w:t>ie</w:t>
      </w:r>
      <w:r w:rsidRPr="000A634C">
        <w:rPr>
          <w:rFonts w:eastAsia="Times New Roman" w:cs="Times New Roman"/>
          <w:bCs/>
          <w:szCs w:val="24"/>
          <w:lang w:eastAsia="lt-LT" w:bidi="lt-LT"/>
        </w:rPr>
        <w:t xml:space="preserve">kimo sistemoje, nesudaręs </w:t>
      </w:r>
      <w:r w:rsidR="008908BF">
        <w:rPr>
          <w:rFonts w:eastAsia="Times New Roman" w:cs="Times New Roman"/>
          <w:bCs/>
          <w:szCs w:val="24"/>
          <w:lang w:eastAsia="lt-LT" w:bidi="lt-LT"/>
        </w:rPr>
        <w:t>g</w:t>
      </w:r>
      <w:r w:rsidRPr="000A634C">
        <w:rPr>
          <w:rFonts w:eastAsia="Times New Roman" w:cs="Times New Roman"/>
          <w:bCs/>
          <w:szCs w:val="24"/>
          <w:lang w:eastAsia="lt-LT" w:bidi="lt-LT"/>
        </w:rPr>
        <w:t xml:space="preserve">ydymo prieinamumo gerinimo ir rizikos pasidalijimo sutarties (pagrįstos finansiniais arba klinikiniais rezultatais sutarties arba mišrios sutarties), nes būtent tokios sutarties sudarymas yra pagrindas gamintojui dalyvauti </w:t>
      </w:r>
      <w:r w:rsidR="008908BF">
        <w:rPr>
          <w:rFonts w:eastAsia="Times New Roman" w:cs="Times New Roman"/>
          <w:bCs/>
          <w:szCs w:val="24"/>
          <w:lang w:eastAsia="lt-LT" w:bidi="lt-LT"/>
        </w:rPr>
        <w:t>k</w:t>
      </w:r>
      <w:r w:rsidRPr="000A634C">
        <w:rPr>
          <w:rFonts w:eastAsia="Times New Roman" w:cs="Times New Roman"/>
          <w:bCs/>
          <w:szCs w:val="24"/>
          <w:lang w:eastAsia="lt-LT" w:bidi="lt-LT"/>
        </w:rPr>
        <w:t>ompensuojamų</w:t>
      </w:r>
      <w:r w:rsidR="00843D87">
        <w:rPr>
          <w:rFonts w:eastAsia="Times New Roman" w:cs="Times New Roman"/>
          <w:bCs/>
          <w:szCs w:val="24"/>
          <w:lang w:eastAsia="lt-LT" w:bidi="lt-LT"/>
        </w:rPr>
        <w:t>jų</w:t>
      </w:r>
      <w:r w:rsidRPr="000A634C">
        <w:rPr>
          <w:rFonts w:eastAsia="Times New Roman" w:cs="Times New Roman"/>
          <w:bCs/>
          <w:szCs w:val="24"/>
          <w:lang w:eastAsia="lt-LT" w:bidi="lt-LT"/>
        </w:rPr>
        <w:t xml:space="preserve"> vaistų tiekimo sistemoje</w:t>
      </w:r>
      <w:r>
        <w:rPr>
          <w:rFonts w:eastAsia="Times New Roman" w:cs="Times New Roman"/>
          <w:bCs/>
          <w:szCs w:val="24"/>
          <w:lang w:eastAsia="lt-LT" w:bidi="lt-LT"/>
        </w:rPr>
        <w:t>.</w:t>
      </w:r>
    </w:p>
    <w:p w14:paraId="4B6D9896" w14:textId="4F22BC94" w:rsidR="000A634C" w:rsidRDefault="000A634C"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teismas pažymėjo</w:t>
      </w:r>
      <w:r w:rsidRPr="000A634C">
        <w:rPr>
          <w:rFonts w:eastAsia="Times New Roman" w:cs="Times New Roman"/>
          <w:bCs/>
          <w:szCs w:val="24"/>
          <w:lang w:eastAsia="lt-LT" w:bidi="lt-LT"/>
        </w:rPr>
        <w:t>, kad nors šalys turi teisę laisvai sudaryti sutartis ir savo nuožiūra nustatyti tarpusavio teises bei pareigas (</w:t>
      </w:r>
      <w:r w:rsidR="003156E8">
        <w:rPr>
          <w:rFonts w:eastAsia="Times New Roman" w:cs="Times New Roman"/>
          <w:bCs/>
          <w:szCs w:val="24"/>
          <w:lang w:eastAsia="lt-LT" w:bidi="lt-LT"/>
        </w:rPr>
        <w:t xml:space="preserve">Lietuvos Respublikos civilinio kodekso (toliau – </w:t>
      </w:r>
      <w:r w:rsidRPr="000A634C">
        <w:rPr>
          <w:rFonts w:eastAsia="Times New Roman" w:cs="Times New Roman"/>
          <w:bCs/>
          <w:szCs w:val="24"/>
          <w:lang w:eastAsia="lt-LT" w:bidi="lt-LT"/>
        </w:rPr>
        <w:t>CK</w:t>
      </w:r>
      <w:r w:rsidR="003156E8">
        <w:rPr>
          <w:rFonts w:eastAsia="Times New Roman" w:cs="Times New Roman"/>
          <w:bCs/>
          <w:szCs w:val="24"/>
          <w:lang w:eastAsia="lt-LT" w:bidi="lt-LT"/>
        </w:rPr>
        <w:t>)</w:t>
      </w:r>
      <w:r w:rsidRPr="000A634C">
        <w:rPr>
          <w:rFonts w:eastAsia="Times New Roman" w:cs="Times New Roman"/>
          <w:bCs/>
          <w:szCs w:val="24"/>
          <w:lang w:eastAsia="lt-LT" w:bidi="lt-LT"/>
        </w:rPr>
        <w:t xml:space="preserve"> 6.156 straipsnio 1 dalis), tačiau draudimas versti </w:t>
      </w:r>
      <w:r w:rsidR="004732D4" w:rsidRPr="000A634C">
        <w:rPr>
          <w:rFonts w:eastAsia="Times New Roman" w:cs="Times New Roman"/>
          <w:bCs/>
          <w:szCs w:val="24"/>
          <w:lang w:eastAsia="lt-LT" w:bidi="lt-LT"/>
        </w:rPr>
        <w:t xml:space="preserve">kitą asmenį </w:t>
      </w:r>
      <w:r w:rsidRPr="000A634C">
        <w:rPr>
          <w:rFonts w:eastAsia="Times New Roman" w:cs="Times New Roman"/>
          <w:bCs/>
          <w:szCs w:val="24"/>
          <w:lang w:eastAsia="lt-LT" w:bidi="lt-LT"/>
        </w:rPr>
        <w:t>sudaryti sutartį turi išlygų, t. y. kai pareigą sudaryti sutartį nustato įstatymai ar savanoriškas įsipareigojimas sudaryti sutartį (CK 6.156 straipsnio 2 dalis). Būtent šiuo atveju atsakovė</w:t>
      </w:r>
      <w:r>
        <w:rPr>
          <w:rFonts w:eastAsia="Times New Roman" w:cs="Times New Roman"/>
          <w:bCs/>
          <w:szCs w:val="24"/>
          <w:lang w:eastAsia="lt-LT" w:bidi="lt-LT"/>
        </w:rPr>
        <w:t>,</w:t>
      </w:r>
      <w:r w:rsidRPr="000A634C">
        <w:rPr>
          <w:rFonts w:eastAsia="Times New Roman" w:cs="Times New Roman"/>
          <w:bCs/>
          <w:szCs w:val="24"/>
          <w:lang w:eastAsia="lt-LT" w:bidi="lt-LT"/>
        </w:rPr>
        <w:t xml:space="preserve"> siekdama dalyvauti </w:t>
      </w:r>
      <w:r w:rsidR="008908BF">
        <w:rPr>
          <w:rFonts w:eastAsia="Times New Roman" w:cs="Times New Roman"/>
          <w:bCs/>
          <w:szCs w:val="24"/>
          <w:lang w:eastAsia="lt-LT" w:bidi="lt-LT"/>
        </w:rPr>
        <w:t>k</w:t>
      </w:r>
      <w:r w:rsidRPr="000A634C">
        <w:rPr>
          <w:rFonts w:eastAsia="Times New Roman" w:cs="Times New Roman"/>
          <w:bCs/>
          <w:szCs w:val="24"/>
          <w:lang w:eastAsia="lt-LT" w:bidi="lt-LT"/>
        </w:rPr>
        <w:t>ompensuojamų</w:t>
      </w:r>
      <w:r w:rsidR="00843D87">
        <w:rPr>
          <w:rFonts w:eastAsia="Times New Roman" w:cs="Times New Roman"/>
          <w:bCs/>
          <w:szCs w:val="24"/>
          <w:lang w:eastAsia="lt-LT" w:bidi="lt-LT"/>
        </w:rPr>
        <w:t>jų</w:t>
      </w:r>
      <w:r w:rsidRPr="000A634C">
        <w:rPr>
          <w:rFonts w:eastAsia="Times New Roman" w:cs="Times New Roman"/>
          <w:bCs/>
          <w:szCs w:val="24"/>
          <w:lang w:eastAsia="lt-LT" w:bidi="lt-LT"/>
        </w:rPr>
        <w:t xml:space="preserve"> vaistų tiekimo sistemoje</w:t>
      </w:r>
      <w:r>
        <w:rPr>
          <w:rFonts w:eastAsia="Times New Roman" w:cs="Times New Roman"/>
          <w:bCs/>
          <w:szCs w:val="24"/>
          <w:lang w:eastAsia="lt-LT" w:bidi="lt-LT"/>
        </w:rPr>
        <w:t>,</w:t>
      </w:r>
      <w:r w:rsidRPr="000A634C">
        <w:rPr>
          <w:rFonts w:eastAsia="Times New Roman" w:cs="Times New Roman"/>
          <w:bCs/>
          <w:szCs w:val="24"/>
          <w:lang w:eastAsia="lt-LT" w:bidi="lt-LT"/>
        </w:rPr>
        <w:t xml:space="preserve"> privalėjo sudaryti</w:t>
      </w:r>
      <w:r w:rsidR="008908BF">
        <w:rPr>
          <w:rFonts w:eastAsia="Times New Roman" w:cs="Times New Roman"/>
          <w:bCs/>
          <w:szCs w:val="24"/>
          <w:lang w:eastAsia="lt-LT" w:bidi="lt-LT"/>
        </w:rPr>
        <w:t xml:space="preserve"> gydymo prieinamumo gerinimo ir</w:t>
      </w:r>
      <w:r w:rsidRPr="000A634C">
        <w:rPr>
          <w:rFonts w:eastAsia="Times New Roman" w:cs="Times New Roman"/>
          <w:bCs/>
          <w:szCs w:val="24"/>
          <w:lang w:eastAsia="lt-LT" w:bidi="lt-LT"/>
        </w:rPr>
        <w:t xml:space="preserve"> rizikos pasidali</w:t>
      </w:r>
      <w:r w:rsidR="00843D87">
        <w:rPr>
          <w:rFonts w:eastAsia="Times New Roman" w:cs="Times New Roman"/>
          <w:bCs/>
          <w:szCs w:val="24"/>
          <w:lang w:eastAsia="lt-LT" w:bidi="lt-LT"/>
        </w:rPr>
        <w:t>jimo</w:t>
      </w:r>
      <w:r w:rsidRPr="000A634C">
        <w:rPr>
          <w:rFonts w:eastAsia="Times New Roman" w:cs="Times New Roman"/>
          <w:bCs/>
          <w:szCs w:val="24"/>
          <w:lang w:eastAsia="lt-LT" w:bidi="lt-LT"/>
        </w:rPr>
        <w:t xml:space="preserve"> sutartį</w:t>
      </w:r>
      <w:r w:rsidR="00843D87">
        <w:rPr>
          <w:rFonts w:eastAsia="Times New Roman" w:cs="Times New Roman"/>
          <w:bCs/>
          <w:szCs w:val="24"/>
          <w:lang w:eastAsia="lt-LT" w:bidi="lt-LT"/>
        </w:rPr>
        <w:t>, nes tokia pareiga nustatyta teisiniu reguliavimu, be kita ko, siekiant užtikrinti PSDF biudžeto stabilumą.</w:t>
      </w:r>
    </w:p>
    <w:p w14:paraId="4683A150" w14:textId="0F9129AD" w:rsidR="000A634C" w:rsidRDefault="000A634C"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Pirmosios instancijos teismas </w:t>
      </w:r>
      <w:r w:rsidRPr="000A634C">
        <w:rPr>
          <w:rFonts w:eastAsia="Times New Roman" w:cs="Times New Roman"/>
          <w:bCs/>
          <w:szCs w:val="24"/>
          <w:lang w:eastAsia="lt-LT" w:bidi="lt-LT"/>
        </w:rPr>
        <w:t>nesuti</w:t>
      </w:r>
      <w:r>
        <w:rPr>
          <w:rFonts w:eastAsia="Times New Roman" w:cs="Times New Roman"/>
          <w:bCs/>
          <w:szCs w:val="24"/>
          <w:lang w:eastAsia="lt-LT" w:bidi="lt-LT"/>
        </w:rPr>
        <w:t>ko</w:t>
      </w:r>
      <w:r w:rsidRPr="000A634C">
        <w:rPr>
          <w:rFonts w:eastAsia="Times New Roman" w:cs="Times New Roman"/>
          <w:bCs/>
          <w:szCs w:val="24"/>
          <w:lang w:eastAsia="lt-LT" w:bidi="lt-LT"/>
        </w:rPr>
        <w:t xml:space="preserve"> su atsakovės pozicija, kad </w:t>
      </w:r>
      <w:r>
        <w:rPr>
          <w:rFonts w:eastAsia="Times New Roman" w:cs="Times New Roman"/>
          <w:bCs/>
          <w:szCs w:val="24"/>
          <w:lang w:eastAsia="lt-LT" w:bidi="lt-LT"/>
        </w:rPr>
        <w:t>S</w:t>
      </w:r>
      <w:r w:rsidRPr="000A634C">
        <w:rPr>
          <w:rFonts w:eastAsia="Times New Roman" w:cs="Times New Roman"/>
          <w:bCs/>
          <w:szCs w:val="24"/>
          <w:lang w:eastAsia="lt-LT" w:bidi="lt-LT"/>
        </w:rPr>
        <w:t xml:space="preserve">utarties galiojimas pasibaigė 2017 m. gruodžio 31 d. </w:t>
      </w:r>
      <w:r>
        <w:rPr>
          <w:rFonts w:eastAsia="Times New Roman" w:cs="Times New Roman"/>
          <w:bCs/>
          <w:szCs w:val="24"/>
          <w:lang w:eastAsia="lt-LT" w:bidi="lt-LT"/>
        </w:rPr>
        <w:t>Pirmosios instancijos teismas nustatė, jog</w:t>
      </w:r>
      <w:r w:rsidRPr="000A634C">
        <w:rPr>
          <w:rFonts w:eastAsia="Times New Roman" w:cs="Times New Roman"/>
          <w:bCs/>
          <w:szCs w:val="24"/>
          <w:lang w:eastAsia="lt-LT" w:bidi="lt-LT"/>
        </w:rPr>
        <w:t xml:space="preserve"> atsakovė 2018 </w:t>
      </w:r>
      <w:r w:rsidR="003156E8">
        <w:rPr>
          <w:rFonts w:eastAsia="Times New Roman" w:cs="Times New Roman"/>
          <w:bCs/>
          <w:szCs w:val="24"/>
          <w:lang w:eastAsia="lt-LT" w:bidi="lt-LT"/>
        </w:rPr>
        <w:t xml:space="preserve">m. </w:t>
      </w:r>
      <w:r w:rsidRPr="000A634C">
        <w:rPr>
          <w:rFonts w:eastAsia="Times New Roman" w:cs="Times New Roman"/>
          <w:bCs/>
          <w:szCs w:val="24"/>
          <w:lang w:eastAsia="lt-LT" w:bidi="lt-LT"/>
        </w:rPr>
        <w:t>ir vėl</w:t>
      </w:r>
      <w:r w:rsidR="003156E8">
        <w:rPr>
          <w:rFonts w:eastAsia="Times New Roman" w:cs="Times New Roman"/>
          <w:bCs/>
          <w:szCs w:val="24"/>
          <w:lang w:eastAsia="lt-LT" w:bidi="lt-LT"/>
        </w:rPr>
        <w:t>iau</w:t>
      </w:r>
      <w:r w:rsidRPr="000A634C">
        <w:rPr>
          <w:rFonts w:eastAsia="Times New Roman" w:cs="Times New Roman"/>
          <w:bCs/>
          <w:szCs w:val="24"/>
          <w:lang w:eastAsia="lt-LT" w:bidi="lt-LT"/>
        </w:rPr>
        <w:t xml:space="preserve"> nepasitraukė iš </w:t>
      </w:r>
      <w:r w:rsidR="008908BF">
        <w:rPr>
          <w:rFonts w:eastAsia="Times New Roman" w:cs="Times New Roman"/>
          <w:bCs/>
          <w:szCs w:val="24"/>
          <w:lang w:eastAsia="lt-LT" w:bidi="lt-LT"/>
        </w:rPr>
        <w:t>k</w:t>
      </w:r>
      <w:r w:rsidRPr="000A634C">
        <w:rPr>
          <w:rFonts w:eastAsia="Times New Roman" w:cs="Times New Roman"/>
          <w:bCs/>
          <w:szCs w:val="24"/>
          <w:lang w:eastAsia="lt-LT" w:bidi="lt-LT"/>
        </w:rPr>
        <w:t>ompensuojamų</w:t>
      </w:r>
      <w:r w:rsidR="00CD4FCD">
        <w:rPr>
          <w:rFonts w:eastAsia="Times New Roman" w:cs="Times New Roman"/>
          <w:bCs/>
          <w:szCs w:val="24"/>
          <w:lang w:eastAsia="lt-LT" w:bidi="lt-LT"/>
        </w:rPr>
        <w:t>jų</w:t>
      </w:r>
      <w:r w:rsidRPr="000A634C">
        <w:rPr>
          <w:rFonts w:eastAsia="Times New Roman" w:cs="Times New Roman"/>
          <w:bCs/>
          <w:szCs w:val="24"/>
          <w:lang w:eastAsia="lt-LT" w:bidi="lt-LT"/>
        </w:rPr>
        <w:t xml:space="preserve"> vaistų tiekimo sistemos ir vykdė prisiimtus sutartinius įsipareigojimus. Tokia išvada, </w:t>
      </w:r>
      <w:r>
        <w:rPr>
          <w:rFonts w:eastAsia="Times New Roman" w:cs="Times New Roman"/>
          <w:bCs/>
          <w:szCs w:val="24"/>
          <w:lang w:eastAsia="lt-LT" w:bidi="lt-LT"/>
        </w:rPr>
        <w:t xml:space="preserve">pirmosios instancijos </w:t>
      </w:r>
      <w:r w:rsidRPr="000A634C">
        <w:rPr>
          <w:rFonts w:eastAsia="Times New Roman" w:cs="Times New Roman"/>
          <w:bCs/>
          <w:szCs w:val="24"/>
          <w:lang w:eastAsia="lt-LT" w:bidi="lt-LT"/>
        </w:rPr>
        <w:t xml:space="preserve">teismo vertinimu, </w:t>
      </w:r>
      <w:r w:rsidR="008908BF">
        <w:rPr>
          <w:rFonts w:eastAsia="Times New Roman" w:cs="Times New Roman"/>
          <w:bCs/>
          <w:szCs w:val="24"/>
          <w:lang w:eastAsia="lt-LT" w:bidi="lt-LT"/>
        </w:rPr>
        <w:t>darytina dėl to</w:t>
      </w:r>
      <w:r w:rsidRPr="000A634C">
        <w:rPr>
          <w:rFonts w:eastAsia="Times New Roman" w:cs="Times New Roman"/>
          <w:bCs/>
          <w:szCs w:val="24"/>
          <w:lang w:eastAsia="lt-LT" w:bidi="lt-LT"/>
        </w:rPr>
        <w:t>, kad</w:t>
      </w:r>
      <w:r>
        <w:rPr>
          <w:rFonts w:eastAsia="Times New Roman" w:cs="Times New Roman"/>
          <w:bCs/>
          <w:szCs w:val="24"/>
          <w:lang w:eastAsia="lt-LT" w:bidi="lt-LT"/>
        </w:rPr>
        <w:t>,</w:t>
      </w:r>
      <w:r w:rsidRPr="000A634C">
        <w:rPr>
          <w:rFonts w:eastAsia="Times New Roman" w:cs="Times New Roman"/>
          <w:bCs/>
          <w:szCs w:val="24"/>
          <w:lang w:eastAsia="lt-LT" w:bidi="lt-LT"/>
        </w:rPr>
        <w:t xml:space="preserve"> šalims nesutarus dėl prognozuojamos PSDF biudžeto išlaidų sumos 2018</w:t>
      </w:r>
      <w:r w:rsidR="00C724C2">
        <w:rPr>
          <w:rFonts w:eastAsia="Times New Roman" w:cs="Times New Roman"/>
          <w:bCs/>
          <w:szCs w:val="24"/>
          <w:lang w:eastAsia="lt-LT" w:bidi="lt-LT"/>
        </w:rPr>
        <w:t>–</w:t>
      </w:r>
      <w:r w:rsidRPr="000A634C">
        <w:rPr>
          <w:rFonts w:eastAsia="Times New Roman" w:cs="Times New Roman"/>
          <w:bCs/>
          <w:szCs w:val="24"/>
          <w:lang w:eastAsia="lt-LT" w:bidi="lt-LT"/>
        </w:rPr>
        <w:t>2019 metams</w:t>
      </w:r>
      <w:r w:rsidR="000A1DBB">
        <w:rPr>
          <w:rFonts w:eastAsia="Times New Roman" w:cs="Times New Roman"/>
          <w:bCs/>
          <w:szCs w:val="24"/>
          <w:lang w:eastAsia="lt-LT" w:bidi="lt-LT"/>
        </w:rPr>
        <w:t xml:space="preserve"> ir</w:t>
      </w:r>
      <w:r w:rsidRPr="000A634C">
        <w:rPr>
          <w:rFonts w:eastAsia="Times New Roman" w:cs="Times New Roman"/>
          <w:bCs/>
          <w:szCs w:val="24"/>
          <w:lang w:eastAsia="lt-LT" w:bidi="lt-LT"/>
        </w:rPr>
        <w:t xml:space="preserve"> </w:t>
      </w:r>
      <w:r w:rsidR="00ED31FB">
        <w:rPr>
          <w:rFonts w:eastAsia="Times New Roman" w:cs="Times New Roman"/>
          <w:bCs/>
          <w:szCs w:val="24"/>
          <w:lang w:eastAsia="lt-LT" w:bidi="lt-LT"/>
        </w:rPr>
        <w:t xml:space="preserve">VLK </w:t>
      </w:r>
      <w:r w:rsidRPr="000A634C">
        <w:rPr>
          <w:rFonts w:eastAsia="Times New Roman" w:cs="Times New Roman"/>
          <w:bCs/>
          <w:szCs w:val="24"/>
          <w:lang w:eastAsia="lt-LT" w:bidi="lt-LT"/>
        </w:rPr>
        <w:t xml:space="preserve">inicijavus teisminį procesą, kurį šalys išsprendė </w:t>
      </w:r>
      <w:r>
        <w:rPr>
          <w:rFonts w:eastAsia="Times New Roman" w:cs="Times New Roman"/>
          <w:bCs/>
          <w:szCs w:val="24"/>
          <w:lang w:eastAsia="lt-LT" w:bidi="lt-LT"/>
        </w:rPr>
        <w:t>T</w:t>
      </w:r>
      <w:r w:rsidRPr="000A634C">
        <w:rPr>
          <w:rFonts w:eastAsia="Times New Roman" w:cs="Times New Roman"/>
          <w:bCs/>
          <w:szCs w:val="24"/>
          <w:lang w:eastAsia="lt-LT" w:bidi="lt-LT"/>
        </w:rPr>
        <w:t xml:space="preserve">aikos sutartimi, atsakovė sumokėjo į PSDF biudžetą šalių sulygtą sumą, tokiu būdu įvykdydama </w:t>
      </w:r>
      <w:r>
        <w:rPr>
          <w:rFonts w:eastAsia="Times New Roman" w:cs="Times New Roman"/>
          <w:bCs/>
          <w:szCs w:val="24"/>
          <w:lang w:eastAsia="lt-LT" w:bidi="lt-LT"/>
        </w:rPr>
        <w:t>S</w:t>
      </w:r>
      <w:r w:rsidRPr="000A634C">
        <w:rPr>
          <w:rFonts w:eastAsia="Times New Roman" w:cs="Times New Roman"/>
          <w:bCs/>
          <w:szCs w:val="24"/>
          <w:lang w:eastAsia="lt-LT" w:bidi="lt-LT"/>
        </w:rPr>
        <w:t>utartimi prisiimtus įsipareigojimus</w:t>
      </w:r>
      <w:r>
        <w:rPr>
          <w:rFonts w:eastAsia="Times New Roman" w:cs="Times New Roman"/>
          <w:bCs/>
          <w:szCs w:val="24"/>
          <w:lang w:eastAsia="lt-LT" w:bidi="lt-LT"/>
        </w:rPr>
        <w:t>.</w:t>
      </w:r>
      <w:r w:rsidR="009D088D">
        <w:rPr>
          <w:rFonts w:eastAsia="Times New Roman" w:cs="Times New Roman"/>
          <w:bCs/>
          <w:szCs w:val="24"/>
          <w:lang w:eastAsia="lt-LT" w:bidi="lt-LT"/>
        </w:rPr>
        <w:t xml:space="preserve"> </w:t>
      </w:r>
      <w:r>
        <w:rPr>
          <w:rFonts w:eastAsia="Times New Roman" w:cs="Times New Roman"/>
          <w:bCs/>
          <w:szCs w:val="24"/>
          <w:lang w:eastAsia="lt-LT" w:bidi="lt-LT"/>
        </w:rPr>
        <w:t xml:space="preserve">Pirmosios instancijos </w:t>
      </w:r>
      <w:r w:rsidRPr="000A634C">
        <w:rPr>
          <w:rFonts w:eastAsia="Times New Roman" w:cs="Times New Roman"/>
          <w:bCs/>
          <w:szCs w:val="24"/>
          <w:lang w:eastAsia="lt-LT" w:bidi="lt-LT"/>
        </w:rPr>
        <w:t>teismo nuomone, neturi teisinės reikšmės aplinkybė, kad nauja sutartis 2018</w:t>
      </w:r>
      <w:r w:rsidR="008908BF">
        <w:rPr>
          <w:rFonts w:eastAsia="Times New Roman" w:cs="Times New Roman"/>
          <w:bCs/>
          <w:szCs w:val="24"/>
          <w:lang w:eastAsia="lt-LT" w:bidi="lt-LT"/>
        </w:rPr>
        <w:t>–</w:t>
      </w:r>
      <w:r w:rsidRPr="000A634C">
        <w:rPr>
          <w:rFonts w:eastAsia="Times New Roman" w:cs="Times New Roman"/>
          <w:bCs/>
          <w:szCs w:val="24"/>
          <w:lang w:eastAsia="lt-LT" w:bidi="lt-LT"/>
        </w:rPr>
        <w:t>2019 metų laikotarpiui nebuvo pasirašyta, nes šalių tarpusavio sutartinių prievolių apimtis buvo nustatyta Taikos sutartimi</w:t>
      </w:r>
      <w:r>
        <w:rPr>
          <w:rFonts w:eastAsia="Times New Roman" w:cs="Times New Roman"/>
          <w:bCs/>
          <w:szCs w:val="24"/>
          <w:lang w:eastAsia="lt-LT" w:bidi="lt-LT"/>
        </w:rPr>
        <w:t>.</w:t>
      </w:r>
      <w:r w:rsidR="009D088D">
        <w:rPr>
          <w:rFonts w:eastAsia="Times New Roman" w:cs="Times New Roman"/>
          <w:bCs/>
          <w:szCs w:val="24"/>
          <w:lang w:eastAsia="lt-LT" w:bidi="lt-LT"/>
        </w:rPr>
        <w:t xml:space="preserve"> </w:t>
      </w:r>
      <w:r>
        <w:rPr>
          <w:rFonts w:eastAsia="Times New Roman" w:cs="Times New Roman"/>
          <w:bCs/>
          <w:szCs w:val="24"/>
          <w:lang w:eastAsia="lt-LT" w:bidi="lt-LT"/>
        </w:rPr>
        <w:t>Pirmosios instancijos teismas</w:t>
      </w:r>
      <w:r w:rsidRPr="000A634C">
        <w:rPr>
          <w:rFonts w:eastAsia="Times New Roman" w:cs="Times New Roman"/>
          <w:bCs/>
          <w:szCs w:val="24"/>
          <w:lang w:eastAsia="lt-LT" w:bidi="lt-LT"/>
        </w:rPr>
        <w:t xml:space="preserve"> suti</w:t>
      </w:r>
      <w:r>
        <w:rPr>
          <w:rFonts w:eastAsia="Times New Roman" w:cs="Times New Roman"/>
          <w:bCs/>
          <w:szCs w:val="24"/>
          <w:lang w:eastAsia="lt-LT" w:bidi="lt-LT"/>
        </w:rPr>
        <w:t>ko</w:t>
      </w:r>
      <w:r w:rsidRPr="000A634C">
        <w:rPr>
          <w:rFonts w:eastAsia="Times New Roman" w:cs="Times New Roman"/>
          <w:bCs/>
          <w:szCs w:val="24"/>
          <w:lang w:eastAsia="lt-LT" w:bidi="lt-LT"/>
        </w:rPr>
        <w:t xml:space="preserve"> su </w:t>
      </w:r>
      <w:r>
        <w:rPr>
          <w:rFonts w:eastAsia="Times New Roman" w:cs="Times New Roman"/>
          <w:bCs/>
          <w:szCs w:val="24"/>
          <w:lang w:eastAsia="lt-LT" w:bidi="lt-LT"/>
        </w:rPr>
        <w:t>VLK</w:t>
      </w:r>
      <w:r w:rsidRPr="000A634C">
        <w:rPr>
          <w:rFonts w:eastAsia="Times New Roman" w:cs="Times New Roman"/>
          <w:bCs/>
          <w:szCs w:val="24"/>
          <w:lang w:eastAsia="lt-LT" w:bidi="lt-LT"/>
        </w:rPr>
        <w:t xml:space="preserve"> pozicija, kad sisteminis Sutarties ir Aprašo nuostatų aiškinimas leidžia daryti išvadą, jog šalys nesulygo, kad Sutarties galiojimas pasibaigs 2017 m. gruodžio 31 d. </w:t>
      </w:r>
      <w:r w:rsidR="003156E8">
        <w:rPr>
          <w:rFonts w:eastAsia="Times New Roman" w:cs="Times New Roman"/>
          <w:bCs/>
          <w:szCs w:val="24"/>
          <w:lang w:eastAsia="lt-LT" w:bidi="lt-LT"/>
        </w:rPr>
        <w:t>Atsižvelgdamas į n</w:t>
      </w:r>
      <w:r w:rsidRPr="000A634C">
        <w:rPr>
          <w:rFonts w:eastAsia="Times New Roman" w:cs="Times New Roman"/>
          <w:bCs/>
          <w:szCs w:val="24"/>
          <w:lang w:eastAsia="lt-LT" w:bidi="lt-LT"/>
        </w:rPr>
        <w:t>urodyt</w:t>
      </w:r>
      <w:r w:rsidR="003156E8">
        <w:rPr>
          <w:rFonts w:eastAsia="Times New Roman" w:cs="Times New Roman"/>
          <w:bCs/>
          <w:szCs w:val="24"/>
          <w:lang w:eastAsia="lt-LT" w:bidi="lt-LT"/>
        </w:rPr>
        <w:t>as</w:t>
      </w:r>
      <w:r w:rsidRPr="000A634C">
        <w:rPr>
          <w:rFonts w:eastAsia="Times New Roman" w:cs="Times New Roman"/>
          <w:bCs/>
          <w:szCs w:val="24"/>
          <w:lang w:eastAsia="lt-LT" w:bidi="lt-LT"/>
        </w:rPr>
        <w:t xml:space="preserve"> aplinkyb</w:t>
      </w:r>
      <w:r w:rsidR="003156E8">
        <w:rPr>
          <w:rFonts w:eastAsia="Times New Roman" w:cs="Times New Roman"/>
          <w:bCs/>
          <w:szCs w:val="24"/>
          <w:lang w:eastAsia="lt-LT" w:bidi="lt-LT"/>
        </w:rPr>
        <w:t>es</w:t>
      </w:r>
      <w:r w:rsidRPr="000A634C">
        <w:rPr>
          <w:rFonts w:eastAsia="Times New Roman" w:cs="Times New Roman"/>
          <w:bCs/>
          <w:szCs w:val="24"/>
          <w:lang w:eastAsia="lt-LT" w:bidi="lt-LT"/>
        </w:rPr>
        <w:t xml:space="preserve"> </w:t>
      </w:r>
      <w:r w:rsidR="00ED31FB">
        <w:rPr>
          <w:rFonts w:eastAsia="Times New Roman" w:cs="Times New Roman"/>
          <w:bCs/>
          <w:szCs w:val="24"/>
          <w:lang w:eastAsia="lt-LT" w:bidi="lt-LT"/>
        </w:rPr>
        <w:t xml:space="preserve">pirmosios instancijos </w:t>
      </w:r>
      <w:r w:rsidRPr="000A634C">
        <w:rPr>
          <w:rFonts w:eastAsia="Times New Roman" w:cs="Times New Roman"/>
          <w:bCs/>
          <w:szCs w:val="24"/>
          <w:lang w:eastAsia="lt-LT" w:bidi="lt-LT"/>
        </w:rPr>
        <w:t xml:space="preserve">teismas </w:t>
      </w:r>
      <w:r w:rsidR="00C724C2">
        <w:rPr>
          <w:rFonts w:eastAsia="Times New Roman" w:cs="Times New Roman"/>
          <w:bCs/>
          <w:szCs w:val="24"/>
          <w:lang w:eastAsia="lt-LT" w:bidi="lt-LT"/>
        </w:rPr>
        <w:t>nu</w:t>
      </w:r>
      <w:r w:rsidRPr="000A634C">
        <w:rPr>
          <w:rFonts w:eastAsia="Times New Roman" w:cs="Times New Roman"/>
          <w:bCs/>
          <w:szCs w:val="24"/>
          <w:lang w:eastAsia="lt-LT" w:bidi="lt-LT"/>
        </w:rPr>
        <w:t>sprend</w:t>
      </w:r>
      <w:r w:rsidR="00ED31FB">
        <w:rPr>
          <w:rFonts w:eastAsia="Times New Roman" w:cs="Times New Roman"/>
          <w:bCs/>
          <w:szCs w:val="24"/>
          <w:lang w:eastAsia="lt-LT" w:bidi="lt-LT"/>
        </w:rPr>
        <w:t>ė</w:t>
      </w:r>
      <w:r w:rsidRPr="000A634C">
        <w:rPr>
          <w:rFonts w:eastAsia="Times New Roman" w:cs="Times New Roman"/>
          <w:bCs/>
          <w:szCs w:val="24"/>
          <w:lang w:eastAsia="lt-LT" w:bidi="lt-LT"/>
        </w:rPr>
        <w:t xml:space="preserve">, </w:t>
      </w:r>
      <w:r w:rsidR="00CD4FCD">
        <w:rPr>
          <w:rFonts w:eastAsia="Times New Roman" w:cs="Times New Roman"/>
          <w:bCs/>
          <w:szCs w:val="24"/>
          <w:lang w:eastAsia="lt-LT" w:bidi="lt-LT"/>
        </w:rPr>
        <w:t>jog</w:t>
      </w:r>
      <w:r w:rsidRPr="000A634C">
        <w:rPr>
          <w:rFonts w:eastAsia="Times New Roman" w:cs="Times New Roman"/>
          <w:bCs/>
          <w:szCs w:val="24"/>
          <w:lang w:eastAsia="lt-LT" w:bidi="lt-LT"/>
        </w:rPr>
        <w:t xml:space="preserve"> tarp šalių </w:t>
      </w:r>
      <w:r w:rsidR="00ED31FB">
        <w:rPr>
          <w:rFonts w:eastAsia="Times New Roman" w:cs="Times New Roman"/>
          <w:bCs/>
          <w:szCs w:val="24"/>
          <w:lang w:eastAsia="lt-LT" w:bidi="lt-LT"/>
        </w:rPr>
        <w:t>S</w:t>
      </w:r>
      <w:r w:rsidRPr="000A634C">
        <w:rPr>
          <w:rFonts w:eastAsia="Times New Roman" w:cs="Times New Roman"/>
          <w:bCs/>
          <w:szCs w:val="24"/>
          <w:lang w:eastAsia="lt-LT" w:bidi="lt-LT"/>
        </w:rPr>
        <w:t xml:space="preserve">utarties pagrindu sukurti sutartiniai santykiai </w:t>
      </w:r>
      <w:r w:rsidR="00ED31FB">
        <w:rPr>
          <w:rFonts w:eastAsia="Times New Roman" w:cs="Times New Roman"/>
          <w:bCs/>
          <w:szCs w:val="24"/>
          <w:lang w:eastAsia="lt-LT" w:bidi="lt-LT"/>
        </w:rPr>
        <w:t>d</w:t>
      </w:r>
      <w:r w:rsidR="00ED31FB" w:rsidRPr="00ED31FB">
        <w:rPr>
          <w:rFonts w:eastAsia="Times New Roman" w:cs="Times New Roman"/>
          <w:bCs/>
          <w:szCs w:val="24"/>
          <w:lang w:eastAsia="lt-LT" w:bidi="lt-LT"/>
        </w:rPr>
        <w:t xml:space="preserve">ėl gydymo vaistu </w:t>
      </w:r>
      <w:r w:rsidR="00C724C2">
        <w:rPr>
          <w:rFonts w:eastAsia="Times New Roman" w:cs="Times New Roman"/>
          <w:bCs/>
          <w:szCs w:val="24"/>
          <w:lang w:eastAsia="lt-LT" w:bidi="lt-LT"/>
        </w:rPr>
        <w:t>„</w:t>
      </w:r>
      <w:proofErr w:type="spellStart"/>
      <w:r w:rsidR="00ED31FB">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009D088D">
        <w:rPr>
          <w:rFonts w:eastAsia="Times New Roman" w:cs="Times New Roman"/>
          <w:bCs/>
          <w:szCs w:val="24"/>
          <w:lang w:eastAsia="lt-LT" w:bidi="lt-LT"/>
        </w:rPr>
        <w:t xml:space="preserve"> </w:t>
      </w:r>
      <w:r w:rsidR="00ED31FB" w:rsidRPr="00ED31FB">
        <w:rPr>
          <w:rFonts w:eastAsia="Times New Roman" w:cs="Times New Roman"/>
          <w:bCs/>
          <w:szCs w:val="24"/>
          <w:lang w:eastAsia="lt-LT" w:bidi="lt-LT"/>
        </w:rPr>
        <w:t>prieinamumo gerinimo ir rizikos pasidali</w:t>
      </w:r>
      <w:r w:rsidR="00CD4FCD">
        <w:rPr>
          <w:rFonts w:eastAsia="Times New Roman" w:cs="Times New Roman"/>
          <w:bCs/>
          <w:szCs w:val="24"/>
          <w:lang w:eastAsia="lt-LT" w:bidi="lt-LT"/>
        </w:rPr>
        <w:t>jimo</w:t>
      </w:r>
      <w:r w:rsidR="009D088D">
        <w:rPr>
          <w:rFonts w:eastAsia="Times New Roman" w:cs="Times New Roman"/>
          <w:bCs/>
          <w:szCs w:val="24"/>
          <w:lang w:eastAsia="lt-LT" w:bidi="lt-LT"/>
        </w:rPr>
        <w:t xml:space="preserve"> </w:t>
      </w:r>
      <w:r w:rsidRPr="000A634C">
        <w:rPr>
          <w:rFonts w:eastAsia="Times New Roman" w:cs="Times New Roman"/>
          <w:bCs/>
          <w:szCs w:val="24"/>
          <w:lang w:eastAsia="lt-LT" w:bidi="lt-LT"/>
        </w:rPr>
        <w:t>2020 metų laikotarpiu nebuvo pasibaigę</w:t>
      </w:r>
      <w:r w:rsidR="00ED31FB">
        <w:rPr>
          <w:rFonts w:eastAsia="Times New Roman" w:cs="Times New Roman"/>
          <w:bCs/>
          <w:szCs w:val="24"/>
          <w:lang w:eastAsia="lt-LT" w:bidi="lt-LT"/>
        </w:rPr>
        <w:t>.</w:t>
      </w:r>
    </w:p>
    <w:p w14:paraId="42D04657" w14:textId="5D81C24F" w:rsidR="00ED31FB" w:rsidRDefault="008960A4"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w:t>
      </w:r>
      <w:r w:rsidR="00ED31FB">
        <w:rPr>
          <w:rFonts w:eastAsia="Times New Roman" w:cs="Times New Roman"/>
          <w:bCs/>
          <w:szCs w:val="24"/>
          <w:lang w:eastAsia="lt-LT" w:bidi="lt-LT"/>
        </w:rPr>
        <w:t>irmosios instancijos</w:t>
      </w:r>
      <w:r w:rsidR="00ED31FB" w:rsidRPr="00ED31FB">
        <w:rPr>
          <w:rFonts w:eastAsia="Times New Roman" w:cs="Times New Roman"/>
          <w:bCs/>
          <w:szCs w:val="24"/>
          <w:lang w:eastAsia="lt-LT" w:bidi="lt-LT"/>
        </w:rPr>
        <w:t xml:space="preserve"> teismo vertinimu</w:t>
      </w:r>
      <w:r w:rsidR="00ED31FB">
        <w:rPr>
          <w:rFonts w:eastAsia="Times New Roman" w:cs="Times New Roman"/>
          <w:bCs/>
          <w:szCs w:val="24"/>
          <w:lang w:eastAsia="lt-LT" w:bidi="lt-LT"/>
        </w:rPr>
        <w:t>,</w:t>
      </w:r>
      <w:r w:rsidR="00ED31FB" w:rsidRPr="00ED31FB">
        <w:rPr>
          <w:rFonts w:eastAsia="Times New Roman" w:cs="Times New Roman"/>
          <w:bCs/>
          <w:szCs w:val="24"/>
          <w:lang w:eastAsia="lt-LT" w:bidi="lt-LT"/>
        </w:rPr>
        <w:t xml:space="preserve"> atsakovė negalėjo atsisakyti sudaryti sutarties 2020 metų laikotarpiui, nes tokia pareiga nustatyta teisiniu reguliavimu (CK 6.156 straipsnio 2 dalis)</w:t>
      </w:r>
      <w:r>
        <w:rPr>
          <w:rFonts w:eastAsia="Times New Roman" w:cs="Times New Roman"/>
          <w:bCs/>
          <w:szCs w:val="24"/>
          <w:lang w:eastAsia="lt-LT" w:bidi="lt-LT"/>
        </w:rPr>
        <w:t>,</w:t>
      </w:r>
      <w:r w:rsidRPr="008960A4">
        <w:rPr>
          <w:rFonts w:eastAsia="Times New Roman" w:cs="Times New Roman"/>
          <w:bCs/>
          <w:szCs w:val="24"/>
          <w:lang w:eastAsia="lt-LT" w:bidi="lt-LT"/>
        </w:rPr>
        <w:t xml:space="preserve"> todėl VLK reikalavimas įpareigoti atsakovę pasirašyti sutartį dėl 2020 metų prognozuojamų PSDF biudžeto išlaidų vaistui </w:t>
      </w:r>
      <w:r w:rsidR="00C724C2">
        <w:rPr>
          <w:rFonts w:eastAsia="Times New Roman" w:cs="Times New Roman"/>
          <w:bCs/>
          <w:szCs w:val="24"/>
          <w:lang w:eastAsia="lt-LT" w:bidi="lt-LT"/>
        </w:rPr>
        <w:t>„</w:t>
      </w:r>
      <w:proofErr w:type="spellStart"/>
      <w:r w:rsidRPr="008960A4">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009D088D">
        <w:rPr>
          <w:rFonts w:eastAsia="Times New Roman" w:cs="Times New Roman"/>
          <w:bCs/>
          <w:szCs w:val="24"/>
          <w:lang w:eastAsia="lt-LT" w:bidi="lt-LT"/>
        </w:rPr>
        <w:t xml:space="preserve"> </w:t>
      </w:r>
      <w:proofErr w:type="spellStart"/>
      <w:r w:rsidRPr="008960A4">
        <w:rPr>
          <w:rFonts w:eastAsia="Times New Roman" w:cs="Times New Roman"/>
          <w:bCs/>
          <w:szCs w:val="24"/>
          <w:lang w:eastAsia="lt-LT" w:bidi="lt-LT"/>
        </w:rPr>
        <w:t>tenki</w:t>
      </w:r>
      <w:r>
        <w:rPr>
          <w:rFonts w:eastAsia="Times New Roman" w:cs="Times New Roman"/>
          <w:bCs/>
          <w:szCs w:val="24"/>
          <w:lang w:eastAsia="lt-LT" w:bidi="lt-LT"/>
        </w:rPr>
        <w:t>ntinas</w:t>
      </w:r>
      <w:proofErr w:type="spellEnd"/>
      <w:r>
        <w:rPr>
          <w:rFonts w:eastAsia="Times New Roman" w:cs="Times New Roman"/>
          <w:bCs/>
          <w:szCs w:val="24"/>
          <w:lang w:eastAsia="lt-LT" w:bidi="lt-LT"/>
        </w:rPr>
        <w:t>.</w:t>
      </w:r>
      <w:r w:rsidR="009D088D">
        <w:rPr>
          <w:rFonts w:eastAsia="Times New Roman" w:cs="Times New Roman"/>
          <w:bCs/>
          <w:szCs w:val="24"/>
          <w:lang w:eastAsia="lt-LT" w:bidi="lt-LT"/>
        </w:rPr>
        <w:t xml:space="preserve"> </w:t>
      </w:r>
      <w:r w:rsidR="00ED31FB">
        <w:rPr>
          <w:rFonts w:eastAsia="Times New Roman" w:cs="Times New Roman"/>
          <w:bCs/>
          <w:szCs w:val="24"/>
          <w:lang w:eastAsia="lt-LT" w:bidi="lt-LT"/>
        </w:rPr>
        <w:t>Pirmosios instancijos teismo</w:t>
      </w:r>
      <w:r w:rsidR="00ED31FB" w:rsidRPr="00ED31FB">
        <w:rPr>
          <w:rFonts w:eastAsia="Times New Roman" w:cs="Times New Roman"/>
          <w:bCs/>
          <w:szCs w:val="24"/>
          <w:lang w:eastAsia="lt-LT" w:bidi="lt-LT"/>
        </w:rPr>
        <w:t xml:space="preserve"> nuomone, sutarčių sudarymas atitinkamiems laikotarpiams</w:t>
      </w:r>
      <w:r w:rsidR="009D088D">
        <w:rPr>
          <w:rFonts w:eastAsia="Times New Roman" w:cs="Times New Roman"/>
          <w:bCs/>
          <w:szCs w:val="24"/>
          <w:lang w:eastAsia="lt-LT" w:bidi="lt-LT"/>
        </w:rPr>
        <w:t xml:space="preserve"> </w:t>
      </w:r>
      <w:r w:rsidR="00ED31FB" w:rsidRPr="00ED31FB">
        <w:rPr>
          <w:rFonts w:eastAsia="Times New Roman" w:cs="Times New Roman"/>
          <w:bCs/>
          <w:szCs w:val="24"/>
          <w:lang w:eastAsia="lt-LT" w:bidi="lt-LT"/>
        </w:rPr>
        <w:t xml:space="preserve">šiuo atveju nelemia išvados, kad sudaroma visiškai nauja sutartis, taip sukuriant naujus sutartinius santykius, nes byloje nustatyta, jog tiek pagal šalių sudarytos </w:t>
      </w:r>
      <w:r w:rsidR="006462F4">
        <w:rPr>
          <w:rFonts w:eastAsia="Times New Roman" w:cs="Times New Roman"/>
          <w:bCs/>
          <w:szCs w:val="24"/>
          <w:lang w:eastAsia="lt-LT" w:bidi="lt-LT"/>
        </w:rPr>
        <w:t>S</w:t>
      </w:r>
      <w:r w:rsidR="00ED31FB" w:rsidRPr="00ED31FB">
        <w:rPr>
          <w:rFonts w:eastAsia="Times New Roman" w:cs="Times New Roman"/>
          <w:bCs/>
          <w:szCs w:val="24"/>
          <w:lang w:eastAsia="lt-LT" w:bidi="lt-LT"/>
        </w:rPr>
        <w:t>utarties nuostatas, tiek pagal teisinį reguliavimą, sudarius sutartį dėl rizikos pasidali</w:t>
      </w:r>
      <w:r w:rsidR="00CD4FCD">
        <w:rPr>
          <w:rFonts w:eastAsia="Times New Roman" w:cs="Times New Roman"/>
          <w:bCs/>
          <w:szCs w:val="24"/>
          <w:lang w:eastAsia="lt-LT" w:bidi="lt-LT"/>
        </w:rPr>
        <w:t>jimo</w:t>
      </w:r>
      <w:r w:rsidR="00ED31FB" w:rsidRPr="00ED31FB">
        <w:rPr>
          <w:rFonts w:eastAsia="Times New Roman" w:cs="Times New Roman"/>
          <w:bCs/>
          <w:szCs w:val="24"/>
          <w:lang w:eastAsia="lt-LT" w:bidi="lt-LT"/>
        </w:rPr>
        <w:t xml:space="preserve"> ir vaistinį preparatą įtraukus į kompensuojamų</w:t>
      </w:r>
      <w:r w:rsidR="00CD4FCD">
        <w:rPr>
          <w:rFonts w:eastAsia="Times New Roman" w:cs="Times New Roman"/>
          <w:bCs/>
          <w:szCs w:val="24"/>
          <w:lang w:eastAsia="lt-LT" w:bidi="lt-LT"/>
        </w:rPr>
        <w:t>jų</w:t>
      </w:r>
      <w:r w:rsidR="00ED31FB" w:rsidRPr="00ED31FB">
        <w:rPr>
          <w:rFonts w:eastAsia="Times New Roman" w:cs="Times New Roman"/>
          <w:bCs/>
          <w:szCs w:val="24"/>
          <w:lang w:eastAsia="lt-LT" w:bidi="lt-LT"/>
        </w:rPr>
        <w:t xml:space="preserve"> vaistų sistemą, sutartiniai santykiai tęsiasi iki </w:t>
      </w:r>
      <w:proofErr w:type="spellStart"/>
      <w:r w:rsidR="00ED31FB" w:rsidRPr="00ED31FB">
        <w:rPr>
          <w:rFonts w:eastAsia="Times New Roman" w:cs="Times New Roman"/>
          <w:bCs/>
          <w:szCs w:val="24"/>
          <w:lang w:eastAsia="lt-LT" w:bidi="lt-LT"/>
        </w:rPr>
        <w:t>generinio</w:t>
      </w:r>
      <w:proofErr w:type="spellEnd"/>
      <w:r w:rsidR="00ED31FB" w:rsidRPr="00ED31FB">
        <w:rPr>
          <w:rFonts w:eastAsia="Times New Roman" w:cs="Times New Roman"/>
          <w:bCs/>
          <w:szCs w:val="24"/>
          <w:lang w:eastAsia="lt-LT" w:bidi="lt-LT"/>
        </w:rPr>
        <w:t xml:space="preserve"> vaisto įrašymo į kainyną arba esant Aprašo17</w:t>
      </w:r>
      <w:r w:rsidR="008908BF">
        <w:rPr>
          <w:rFonts w:eastAsia="Times New Roman" w:cs="Times New Roman"/>
          <w:bCs/>
          <w:szCs w:val="24"/>
          <w:lang w:eastAsia="lt-LT" w:bidi="lt-LT"/>
        </w:rPr>
        <w:t>–</w:t>
      </w:r>
      <w:r w:rsidR="00ED31FB" w:rsidRPr="00ED31FB">
        <w:rPr>
          <w:rFonts w:eastAsia="Times New Roman" w:cs="Times New Roman"/>
          <w:bCs/>
          <w:szCs w:val="24"/>
          <w:lang w:eastAsia="lt-LT" w:bidi="lt-LT"/>
        </w:rPr>
        <w:t>20 punktuose nustatytoms aplinkybėms, k</w:t>
      </w:r>
      <w:r w:rsidR="000A1DBB">
        <w:rPr>
          <w:rFonts w:eastAsia="Times New Roman" w:cs="Times New Roman"/>
          <w:bCs/>
          <w:szCs w:val="24"/>
          <w:lang w:eastAsia="lt-LT" w:bidi="lt-LT"/>
        </w:rPr>
        <w:t>ai</w:t>
      </w:r>
      <w:r w:rsidR="00ED31FB" w:rsidRPr="00ED31FB">
        <w:rPr>
          <w:rFonts w:eastAsia="Times New Roman" w:cs="Times New Roman"/>
          <w:bCs/>
          <w:szCs w:val="24"/>
          <w:lang w:eastAsia="lt-LT" w:bidi="lt-LT"/>
        </w:rPr>
        <w:t xml:space="preserve"> sutartis gali būti nutraukta</w:t>
      </w:r>
      <w:r w:rsidR="006462F4">
        <w:rPr>
          <w:rFonts w:eastAsia="Times New Roman" w:cs="Times New Roman"/>
          <w:bCs/>
          <w:szCs w:val="24"/>
          <w:lang w:eastAsia="lt-LT" w:bidi="lt-LT"/>
        </w:rPr>
        <w:t>.</w:t>
      </w:r>
    </w:p>
    <w:p w14:paraId="4B274DFF" w14:textId="5D533E16" w:rsidR="006462F4" w:rsidRPr="00D91232" w:rsidRDefault="006462F4" w:rsidP="00D9123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Pirmosios instancijos </w:t>
      </w:r>
      <w:r w:rsidRPr="006462F4">
        <w:rPr>
          <w:rFonts w:eastAsia="Times New Roman" w:cs="Times New Roman"/>
          <w:bCs/>
          <w:szCs w:val="24"/>
          <w:lang w:eastAsia="lt-LT" w:bidi="lt-LT"/>
        </w:rPr>
        <w:t xml:space="preserve">teismo nuomone, įvertinus tai, kad atsakovė neginčijo </w:t>
      </w:r>
      <w:r w:rsidR="00B77716">
        <w:rPr>
          <w:rFonts w:eastAsia="Times New Roman" w:cs="Times New Roman"/>
          <w:bCs/>
          <w:szCs w:val="24"/>
          <w:lang w:eastAsia="lt-LT" w:bidi="lt-LT"/>
        </w:rPr>
        <w:t>Kompensavimo k</w:t>
      </w:r>
      <w:r w:rsidRPr="006462F4">
        <w:rPr>
          <w:rFonts w:eastAsia="Times New Roman" w:cs="Times New Roman"/>
          <w:bCs/>
          <w:szCs w:val="24"/>
          <w:lang w:eastAsia="lt-LT" w:bidi="lt-LT"/>
        </w:rPr>
        <w:t>omisijos sprendimo dėl vaisto terapinės vertės sumažinim</w:t>
      </w:r>
      <w:r w:rsidR="00CD4FCD">
        <w:rPr>
          <w:rFonts w:eastAsia="Times New Roman" w:cs="Times New Roman"/>
          <w:bCs/>
          <w:szCs w:val="24"/>
          <w:lang w:eastAsia="lt-LT" w:bidi="lt-LT"/>
        </w:rPr>
        <w:t>o</w:t>
      </w:r>
      <w:r w:rsidR="000A1DBB">
        <w:rPr>
          <w:rFonts w:eastAsia="Times New Roman" w:cs="Times New Roman"/>
          <w:bCs/>
          <w:szCs w:val="24"/>
          <w:lang w:eastAsia="lt-LT" w:bidi="lt-LT"/>
        </w:rPr>
        <w:t>,</w:t>
      </w:r>
      <w:r w:rsidRPr="006462F4">
        <w:rPr>
          <w:rFonts w:eastAsia="Times New Roman" w:cs="Times New Roman"/>
          <w:bCs/>
          <w:szCs w:val="24"/>
          <w:lang w:eastAsia="lt-LT" w:bidi="lt-LT"/>
        </w:rPr>
        <w:t xml:space="preserve"> </w:t>
      </w:r>
      <w:r w:rsidR="000A1DBB">
        <w:rPr>
          <w:rFonts w:eastAsia="Times New Roman" w:cs="Times New Roman"/>
          <w:bCs/>
          <w:szCs w:val="24"/>
          <w:lang w:eastAsia="lt-LT" w:bidi="lt-LT"/>
        </w:rPr>
        <w:t>ir</w:t>
      </w:r>
      <w:r w:rsidRPr="006462F4">
        <w:rPr>
          <w:rFonts w:eastAsia="Times New Roman" w:cs="Times New Roman"/>
          <w:bCs/>
          <w:szCs w:val="24"/>
          <w:lang w:eastAsia="lt-LT" w:bidi="lt-LT"/>
        </w:rPr>
        <w:t xml:space="preserve"> tai, kad Taikos sutartimi šalys </w:t>
      </w:r>
      <w:r w:rsidRPr="006462F4">
        <w:rPr>
          <w:rFonts w:eastAsia="Times New Roman" w:cs="Times New Roman"/>
          <w:bCs/>
          <w:szCs w:val="24"/>
          <w:lang w:eastAsia="lt-LT" w:bidi="lt-LT"/>
        </w:rPr>
        <w:lastRenderedPageBreak/>
        <w:t xml:space="preserve">sulygo dėl prognozuojamos išlaidų sumos 2019 metams, </w:t>
      </w:r>
      <w:r>
        <w:rPr>
          <w:rFonts w:eastAsia="Times New Roman" w:cs="Times New Roman"/>
          <w:bCs/>
          <w:szCs w:val="24"/>
          <w:lang w:eastAsia="lt-LT" w:bidi="lt-LT"/>
        </w:rPr>
        <w:t>VLK,</w:t>
      </w:r>
      <w:r w:rsidRPr="006462F4">
        <w:rPr>
          <w:rFonts w:eastAsia="Times New Roman" w:cs="Times New Roman"/>
          <w:bCs/>
          <w:szCs w:val="24"/>
          <w:lang w:eastAsia="lt-LT" w:bidi="lt-LT"/>
        </w:rPr>
        <w:t xml:space="preserve"> atsižvelgiant į Aprašo 25.2.1</w:t>
      </w:r>
      <w:r w:rsidR="00C724C2">
        <w:rPr>
          <w:rFonts w:eastAsia="Times New Roman" w:cs="Times New Roman"/>
          <w:bCs/>
          <w:szCs w:val="24"/>
          <w:lang w:eastAsia="lt-LT" w:bidi="lt-LT"/>
        </w:rPr>
        <w:t> </w:t>
      </w:r>
      <w:r w:rsidRPr="006462F4">
        <w:rPr>
          <w:rFonts w:eastAsia="Times New Roman" w:cs="Times New Roman"/>
          <w:bCs/>
          <w:szCs w:val="24"/>
          <w:lang w:eastAsia="lt-LT" w:bidi="lt-LT"/>
        </w:rPr>
        <w:t>punkto nuostatą, apskaičiuodama prognozuojamų išlaidų sumą 2020 metų laikotarpiui, pagrįstai rėmėsi Taikos sutartyje nustatyta praėjusių metų prognozuojamų išlaidų kompensuojamajam vaistiniam preparatui suma</w:t>
      </w:r>
      <w:r>
        <w:rPr>
          <w:rFonts w:eastAsia="Times New Roman" w:cs="Times New Roman"/>
          <w:bCs/>
          <w:szCs w:val="24"/>
          <w:lang w:eastAsia="lt-LT" w:bidi="lt-LT"/>
        </w:rPr>
        <w:t>.</w:t>
      </w:r>
    </w:p>
    <w:p w14:paraId="3DE81A09" w14:textId="28ABF7AC" w:rsidR="005F358B" w:rsidRPr="005F358B" w:rsidRDefault="0068787A" w:rsidP="004F66CB">
      <w:pPr>
        <w:numPr>
          <w:ilvl w:val="0"/>
          <w:numId w:val="1"/>
        </w:numPr>
        <w:spacing w:after="120" w:line="240" w:lineRule="auto"/>
        <w:ind w:left="357" w:hanging="357"/>
        <w:jc w:val="both"/>
        <w:rPr>
          <w:rFonts w:eastAsia="Times New Roman" w:cs="Times New Roman"/>
          <w:bCs/>
          <w:szCs w:val="24"/>
          <w:lang w:eastAsia="lt-LT" w:bidi="lt-LT"/>
        </w:rPr>
      </w:pPr>
      <w:r w:rsidRPr="005F358B">
        <w:rPr>
          <w:rFonts w:eastAsia="Times New Roman" w:cs="Times New Roman"/>
          <w:bCs/>
          <w:szCs w:val="24"/>
          <w:lang w:eastAsia="lt-LT" w:bidi="lt-LT"/>
        </w:rPr>
        <w:t>Pirmosios instancijos teismas, atsižvelg</w:t>
      </w:r>
      <w:r w:rsidR="000A1DBB">
        <w:rPr>
          <w:rFonts w:eastAsia="Times New Roman" w:cs="Times New Roman"/>
          <w:bCs/>
          <w:szCs w:val="24"/>
          <w:lang w:eastAsia="lt-LT" w:bidi="lt-LT"/>
        </w:rPr>
        <w:t>damas</w:t>
      </w:r>
      <w:r w:rsidRPr="005F358B">
        <w:rPr>
          <w:rFonts w:eastAsia="Times New Roman" w:cs="Times New Roman"/>
          <w:bCs/>
          <w:szCs w:val="24"/>
          <w:lang w:eastAsia="lt-LT" w:bidi="lt-LT"/>
        </w:rPr>
        <w:t xml:space="preserve"> į nustatytas aplinkybes, k</w:t>
      </w:r>
      <w:r w:rsidR="008F7F94" w:rsidRPr="005F358B">
        <w:rPr>
          <w:rFonts w:eastAsia="Times New Roman" w:cs="Times New Roman"/>
          <w:bCs/>
          <w:szCs w:val="24"/>
          <w:lang w:eastAsia="lt-LT" w:bidi="lt-LT"/>
        </w:rPr>
        <w:t>onstatav</w:t>
      </w:r>
      <w:r w:rsidRPr="005F358B">
        <w:rPr>
          <w:rFonts w:eastAsia="Times New Roman" w:cs="Times New Roman"/>
          <w:bCs/>
          <w:szCs w:val="24"/>
          <w:lang w:eastAsia="lt-LT" w:bidi="lt-LT"/>
        </w:rPr>
        <w:t>o</w:t>
      </w:r>
      <w:r w:rsidR="008F7F94" w:rsidRPr="005F358B">
        <w:rPr>
          <w:rFonts w:eastAsia="Times New Roman" w:cs="Times New Roman"/>
          <w:bCs/>
          <w:szCs w:val="24"/>
          <w:lang w:eastAsia="lt-LT" w:bidi="lt-LT"/>
        </w:rPr>
        <w:t xml:space="preserve">, </w:t>
      </w:r>
      <w:r w:rsidR="007E03FE">
        <w:rPr>
          <w:rFonts w:eastAsia="Times New Roman" w:cs="Times New Roman"/>
          <w:bCs/>
          <w:szCs w:val="24"/>
          <w:lang w:eastAsia="lt-LT" w:bidi="lt-LT"/>
        </w:rPr>
        <w:t xml:space="preserve">kad </w:t>
      </w:r>
      <w:r w:rsidR="005F358B" w:rsidRPr="005F358B">
        <w:rPr>
          <w:rFonts w:eastAsia="Times New Roman" w:cs="Times New Roman"/>
          <w:bCs/>
          <w:szCs w:val="24"/>
          <w:lang w:eastAsia="lt-LT" w:bidi="lt-LT"/>
        </w:rPr>
        <w:t>atsakovė nepaneigė VLK apskaičiuotos prognozuojamos ir grąžintos sumos teisingumo, todėl VLK reikalavimą įpareigoti atsakovę grąžinti 1 516 270,86 Eur į PSDF biudžetą tenkino.</w:t>
      </w:r>
    </w:p>
    <w:p w14:paraId="0C3BA26A" w14:textId="6B18FD81" w:rsidR="008F7F94" w:rsidRPr="005F358B" w:rsidRDefault="005F358B" w:rsidP="004F66CB">
      <w:pPr>
        <w:numPr>
          <w:ilvl w:val="0"/>
          <w:numId w:val="1"/>
        </w:numPr>
        <w:spacing w:after="120" w:line="240" w:lineRule="auto"/>
        <w:ind w:left="357" w:hanging="357"/>
        <w:jc w:val="both"/>
        <w:rPr>
          <w:rFonts w:eastAsia="Times New Roman" w:cs="Times New Roman"/>
          <w:bCs/>
          <w:szCs w:val="24"/>
          <w:lang w:eastAsia="lt-LT" w:bidi="lt-LT"/>
        </w:rPr>
      </w:pPr>
      <w:r w:rsidRPr="005F358B">
        <w:rPr>
          <w:rFonts w:eastAsia="Times New Roman" w:cs="Times New Roman"/>
          <w:bCs/>
          <w:szCs w:val="24"/>
          <w:lang w:eastAsia="lt-LT" w:bidi="lt-LT"/>
        </w:rPr>
        <w:t>Lietuvos apeliacinio</w:t>
      </w:r>
      <w:r w:rsidR="00FB10FA" w:rsidRPr="005F358B">
        <w:rPr>
          <w:rFonts w:eastAsia="Times New Roman" w:cs="Times New Roman"/>
          <w:bCs/>
          <w:szCs w:val="24"/>
          <w:lang w:eastAsia="lt-LT" w:bidi="lt-LT"/>
        </w:rPr>
        <w:t xml:space="preserve"> teismo Civilinių bylų skyriaus teisėjų kolegij</w:t>
      </w:r>
      <w:r w:rsidR="008F7F94" w:rsidRPr="005F358B">
        <w:rPr>
          <w:rFonts w:eastAsia="Times New Roman" w:cs="Times New Roman"/>
          <w:bCs/>
          <w:szCs w:val="24"/>
          <w:lang w:eastAsia="lt-LT" w:bidi="lt-LT"/>
        </w:rPr>
        <w:t xml:space="preserve">a, išnagrinėjusi civilinę bylą pagal </w:t>
      </w:r>
      <w:r w:rsidRPr="005F358B">
        <w:rPr>
          <w:rFonts w:eastAsia="Times New Roman" w:cs="Times New Roman"/>
          <w:bCs/>
          <w:szCs w:val="24"/>
          <w:lang w:eastAsia="lt-LT" w:bidi="lt-LT"/>
        </w:rPr>
        <w:t>atsakovės</w:t>
      </w:r>
      <w:r w:rsidR="008F7F94" w:rsidRPr="005F358B">
        <w:rPr>
          <w:rFonts w:eastAsia="Times New Roman" w:cs="Times New Roman"/>
          <w:bCs/>
          <w:szCs w:val="24"/>
          <w:lang w:eastAsia="lt-LT" w:bidi="lt-LT"/>
        </w:rPr>
        <w:t xml:space="preserve"> apeliacin</w:t>
      </w:r>
      <w:r w:rsidR="00FB10FA" w:rsidRPr="005F358B">
        <w:rPr>
          <w:rFonts w:eastAsia="Times New Roman" w:cs="Times New Roman"/>
          <w:bCs/>
          <w:szCs w:val="24"/>
          <w:lang w:eastAsia="lt-LT" w:bidi="lt-LT"/>
        </w:rPr>
        <w:t>į</w:t>
      </w:r>
      <w:r w:rsidR="008F7F94" w:rsidRPr="005F358B">
        <w:rPr>
          <w:rFonts w:eastAsia="Times New Roman" w:cs="Times New Roman"/>
          <w:bCs/>
          <w:szCs w:val="24"/>
          <w:lang w:eastAsia="lt-LT" w:bidi="lt-LT"/>
        </w:rPr>
        <w:t xml:space="preserve"> skund</w:t>
      </w:r>
      <w:r w:rsidR="00FB10FA" w:rsidRPr="005F358B">
        <w:rPr>
          <w:rFonts w:eastAsia="Times New Roman" w:cs="Times New Roman"/>
          <w:bCs/>
          <w:szCs w:val="24"/>
          <w:lang w:eastAsia="lt-LT" w:bidi="lt-LT"/>
        </w:rPr>
        <w:t>ą</w:t>
      </w:r>
      <w:r w:rsidR="008F7F94" w:rsidRPr="005F358B">
        <w:rPr>
          <w:rFonts w:eastAsia="Times New Roman" w:cs="Times New Roman"/>
          <w:bCs/>
          <w:szCs w:val="24"/>
          <w:lang w:eastAsia="lt-LT" w:bidi="lt-LT"/>
        </w:rPr>
        <w:t xml:space="preserve">, </w:t>
      </w:r>
      <w:r w:rsidR="00FB10FA" w:rsidRPr="005F358B">
        <w:rPr>
          <w:rFonts w:eastAsia="Times New Roman" w:cs="Times New Roman"/>
          <w:bCs/>
          <w:szCs w:val="24"/>
          <w:lang w:eastAsia="lt-LT" w:bidi="lt-LT"/>
        </w:rPr>
        <w:t>202</w:t>
      </w:r>
      <w:r w:rsidRPr="005F358B">
        <w:rPr>
          <w:rFonts w:eastAsia="Times New Roman" w:cs="Times New Roman"/>
          <w:bCs/>
          <w:szCs w:val="24"/>
          <w:lang w:eastAsia="lt-LT" w:bidi="lt-LT"/>
        </w:rPr>
        <w:t>3</w:t>
      </w:r>
      <w:r w:rsidR="00FB10FA" w:rsidRPr="005F358B">
        <w:rPr>
          <w:rFonts w:eastAsia="Times New Roman" w:cs="Times New Roman"/>
          <w:bCs/>
          <w:szCs w:val="24"/>
          <w:lang w:eastAsia="lt-LT" w:bidi="lt-LT"/>
        </w:rPr>
        <w:t xml:space="preserve"> m. </w:t>
      </w:r>
      <w:r w:rsidRPr="005F358B">
        <w:rPr>
          <w:rFonts w:eastAsia="Times New Roman" w:cs="Times New Roman"/>
          <w:bCs/>
          <w:szCs w:val="24"/>
          <w:lang w:eastAsia="lt-LT" w:bidi="lt-LT"/>
        </w:rPr>
        <w:t>vasario</w:t>
      </w:r>
      <w:r w:rsidR="008908BF">
        <w:rPr>
          <w:rFonts w:eastAsia="Times New Roman" w:cs="Times New Roman"/>
          <w:bCs/>
          <w:szCs w:val="24"/>
          <w:lang w:eastAsia="lt-LT" w:bidi="lt-LT"/>
        </w:rPr>
        <w:t xml:space="preserve"> </w:t>
      </w:r>
      <w:r w:rsidRPr="005F358B">
        <w:rPr>
          <w:rFonts w:eastAsia="Times New Roman" w:cs="Times New Roman"/>
          <w:bCs/>
          <w:szCs w:val="24"/>
          <w:lang w:eastAsia="lt-LT" w:bidi="lt-LT"/>
        </w:rPr>
        <w:t>7</w:t>
      </w:r>
      <w:r w:rsidR="00FB10FA" w:rsidRPr="005F358B">
        <w:rPr>
          <w:rFonts w:eastAsia="Times New Roman" w:cs="Times New Roman"/>
          <w:bCs/>
          <w:szCs w:val="24"/>
          <w:lang w:eastAsia="lt-LT" w:bidi="lt-LT"/>
        </w:rPr>
        <w:t xml:space="preserve"> d. nutarti</w:t>
      </w:r>
      <w:r w:rsidR="008F7F94" w:rsidRPr="005F358B">
        <w:rPr>
          <w:rFonts w:eastAsia="Times New Roman" w:cs="Times New Roman"/>
          <w:bCs/>
          <w:szCs w:val="24"/>
          <w:lang w:eastAsia="lt-LT" w:bidi="lt-LT"/>
        </w:rPr>
        <w:t>mi pa</w:t>
      </w:r>
      <w:r w:rsidR="00FB10FA" w:rsidRPr="005F358B">
        <w:rPr>
          <w:rFonts w:eastAsia="Times New Roman" w:cs="Times New Roman"/>
          <w:bCs/>
          <w:szCs w:val="24"/>
          <w:lang w:eastAsia="lt-LT" w:bidi="lt-LT"/>
        </w:rPr>
        <w:t xml:space="preserve">liko nepakeistą </w:t>
      </w:r>
      <w:r w:rsidRPr="005F358B">
        <w:rPr>
          <w:rFonts w:eastAsia="Times New Roman" w:cs="Times New Roman"/>
          <w:bCs/>
          <w:szCs w:val="24"/>
          <w:lang w:eastAsia="lt-LT" w:bidi="lt-LT"/>
        </w:rPr>
        <w:t>Vilniaus apygardos</w:t>
      </w:r>
      <w:r w:rsidR="00FB10FA" w:rsidRPr="005F358B">
        <w:rPr>
          <w:rFonts w:eastAsia="Times New Roman" w:cs="Times New Roman"/>
          <w:bCs/>
          <w:szCs w:val="24"/>
          <w:lang w:eastAsia="lt-LT" w:bidi="lt-LT"/>
        </w:rPr>
        <w:t xml:space="preserve"> teismo 2022 m. </w:t>
      </w:r>
      <w:r w:rsidRPr="005F358B">
        <w:rPr>
          <w:rFonts w:eastAsia="Times New Roman" w:cs="Times New Roman"/>
          <w:bCs/>
          <w:szCs w:val="24"/>
          <w:lang w:eastAsia="lt-LT" w:bidi="lt-LT"/>
        </w:rPr>
        <w:t>liepos</w:t>
      </w:r>
      <w:r w:rsidR="008908BF">
        <w:rPr>
          <w:rFonts w:eastAsia="Times New Roman" w:cs="Times New Roman"/>
          <w:bCs/>
          <w:szCs w:val="24"/>
          <w:lang w:eastAsia="lt-LT" w:bidi="lt-LT"/>
        </w:rPr>
        <w:t xml:space="preserve"> </w:t>
      </w:r>
      <w:r w:rsidRPr="005F358B">
        <w:rPr>
          <w:rFonts w:eastAsia="Times New Roman" w:cs="Times New Roman"/>
          <w:bCs/>
          <w:szCs w:val="24"/>
          <w:lang w:eastAsia="lt-LT" w:bidi="lt-LT"/>
        </w:rPr>
        <w:t>21</w:t>
      </w:r>
      <w:r w:rsidR="00FB10FA" w:rsidRPr="005F358B">
        <w:rPr>
          <w:rFonts w:eastAsia="Times New Roman" w:cs="Times New Roman"/>
          <w:bCs/>
          <w:szCs w:val="24"/>
          <w:lang w:eastAsia="lt-LT" w:bidi="lt-LT"/>
        </w:rPr>
        <w:t xml:space="preserve"> d. sprendimą</w:t>
      </w:r>
      <w:r w:rsidR="008F7F94" w:rsidRPr="005F358B">
        <w:rPr>
          <w:rFonts w:eastAsia="Times New Roman" w:cs="Times New Roman"/>
          <w:bCs/>
          <w:szCs w:val="24"/>
          <w:lang w:eastAsia="lt-LT" w:bidi="lt-LT"/>
        </w:rPr>
        <w:t>.</w:t>
      </w:r>
    </w:p>
    <w:p w14:paraId="66D2797F" w14:textId="12C19CE0" w:rsidR="000E6E47" w:rsidRPr="00781B9B" w:rsidRDefault="00FD230A" w:rsidP="004F66CB">
      <w:pPr>
        <w:numPr>
          <w:ilvl w:val="0"/>
          <w:numId w:val="1"/>
        </w:numPr>
        <w:spacing w:after="120" w:line="240" w:lineRule="auto"/>
        <w:ind w:left="357" w:hanging="357"/>
        <w:jc w:val="both"/>
        <w:rPr>
          <w:rFonts w:eastAsia="Times New Roman" w:cs="Times New Roman"/>
          <w:bCs/>
          <w:szCs w:val="24"/>
          <w:lang w:eastAsia="lt-LT" w:bidi="lt-LT"/>
        </w:rPr>
      </w:pPr>
      <w:r w:rsidRPr="00781B9B">
        <w:rPr>
          <w:rFonts w:eastAsia="Times New Roman" w:cs="Times New Roman"/>
          <w:bCs/>
          <w:szCs w:val="24"/>
          <w:lang w:eastAsia="lt-LT" w:bidi="lt-LT"/>
        </w:rPr>
        <w:t xml:space="preserve">Apeliacinės instancijos teismas, įvertinęs Aprašo 17 punkto nuostatas, taip pat Sutarties 4.5 punkto </w:t>
      </w:r>
      <w:r w:rsidR="008908BF">
        <w:rPr>
          <w:rFonts w:eastAsia="Times New Roman" w:cs="Times New Roman"/>
          <w:bCs/>
          <w:szCs w:val="24"/>
          <w:lang w:eastAsia="lt-LT" w:bidi="lt-LT"/>
        </w:rPr>
        <w:t>nuostatą</w:t>
      </w:r>
      <w:r w:rsidRPr="00781B9B">
        <w:rPr>
          <w:rFonts w:eastAsia="Times New Roman" w:cs="Times New Roman"/>
          <w:bCs/>
          <w:szCs w:val="24"/>
          <w:lang w:eastAsia="lt-LT" w:bidi="lt-LT"/>
        </w:rPr>
        <w:t xml:space="preserve">, kuri yra analogiška Apraše įtvirtintam reguliavimui, </w:t>
      </w:r>
      <w:r w:rsidR="000A1DBB">
        <w:rPr>
          <w:rFonts w:eastAsia="Times New Roman" w:cs="Times New Roman"/>
          <w:bCs/>
          <w:szCs w:val="24"/>
          <w:lang w:eastAsia="lt-LT" w:bidi="lt-LT"/>
        </w:rPr>
        <w:t>nu</w:t>
      </w:r>
      <w:r w:rsidRPr="00781B9B">
        <w:rPr>
          <w:rFonts w:eastAsia="Times New Roman" w:cs="Times New Roman"/>
          <w:bCs/>
          <w:szCs w:val="24"/>
          <w:lang w:eastAsia="lt-LT" w:bidi="lt-LT"/>
        </w:rPr>
        <w:t xml:space="preserve">sprendė, kad Sutartis galioja iki </w:t>
      </w:r>
      <w:proofErr w:type="spellStart"/>
      <w:r w:rsidRPr="00781B9B">
        <w:rPr>
          <w:rFonts w:eastAsia="Times New Roman" w:cs="Times New Roman"/>
          <w:bCs/>
          <w:szCs w:val="24"/>
          <w:lang w:eastAsia="lt-LT" w:bidi="lt-LT"/>
        </w:rPr>
        <w:t>generinio</w:t>
      </w:r>
      <w:proofErr w:type="spellEnd"/>
      <w:r w:rsidRPr="00781B9B">
        <w:rPr>
          <w:rFonts w:eastAsia="Times New Roman" w:cs="Times New Roman"/>
          <w:bCs/>
          <w:szCs w:val="24"/>
          <w:lang w:eastAsia="lt-LT" w:bidi="lt-LT"/>
        </w:rPr>
        <w:t xml:space="preserve"> vaistinio preparato įrašymo į tą pačią kainyno vaistinių preparatų grupę. Nagrinėjamu atveju n</w:t>
      </w:r>
      <w:r w:rsidR="008908BF">
        <w:rPr>
          <w:rFonts w:eastAsia="Times New Roman" w:cs="Times New Roman"/>
          <w:bCs/>
          <w:szCs w:val="24"/>
          <w:lang w:eastAsia="lt-LT" w:bidi="lt-LT"/>
        </w:rPr>
        <w:t>ebuvo</w:t>
      </w:r>
      <w:r w:rsidRPr="00781B9B">
        <w:rPr>
          <w:rFonts w:eastAsia="Times New Roman" w:cs="Times New Roman"/>
          <w:bCs/>
          <w:szCs w:val="24"/>
          <w:lang w:eastAsia="lt-LT" w:bidi="lt-LT"/>
        </w:rPr>
        <w:t xml:space="preserve"> ginčo, kad 2020 metais </w:t>
      </w:r>
      <w:proofErr w:type="spellStart"/>
      <w:r w:rsidRPr="00781B9B">
        <w:rPr>
          <w:rFonts w:eastAsia="Times New Roman" w:cs="Times New Roman"/>
          <w:bCs/>
          <w:szCs w:val="24"/>
          <w:lang w:eastAsia="lt-LT" w:bidi="lt-LT"/>
        </w:rPr>
        <w:t>generinis</w:t>
      </w:r>
      <w:proofErr w:type="spellEnd"/>
      <w:r w:rsidRPr="00781B9B">
        <w:rPr>
          <w:rFonts w:eastAsia="Times New Roman" w:cs="Times New Roman"/>
          <w:bCs/>
          <w:szCs w:val="24"/>
          <w:lang w:eastAsia="lt-LT" w:bidi="lt-LT"/>
        </w:rPr>
        <w:t xml:space="preserve"> vaistinis preparatas nebuvo įrašytas į tą pačią kainyno vaistinių preparatų grupę. Atsižvelg</w:t>
      </w:r>
      <w:r w:rsidR="00C724C2">
        <w:rPr>
          <w:rFonts w:eastAsia="Times New Roman" w:cs="Times New Roman"/>
          <w:bCs/>
          <w:szCs w:val="24"/>
          <w:lang w:eastAsia="lt-LT" w:bidi="lt-LT"/>
        </w:rPr>
        <w:t>damas</w:t>
      </w:r>
      <w:r w:rsidRPr="00781B9B">
        <w:rPr>
          <w:rFonts w:eastAsia="Times New Roman" w:cs="Times New Roman"/>
          <w:bCs/>
          <w:szCs w:val="24"/>
          <w:lang w:eastAsia="lt-LT" w:bidi="lt-LT"/>
        </w:rPr>
        <w:t xml:space="preserve"> į nustatytas aplinkybes, apeliacinės instancijos teismas konstatavo, kad Sutarties galiojimas 2020 metais nebuvo pasibaigęs (</w:t>
      </w:r>
      <w:r w:rsidR="003156E8">
        <w:rPr>
          <w:rFonts w:eastAsia="Times New Roman" w:cs="Times New Roman"/>
          <w:bCs/>
          <w:szCs w:val="24"/>
          <w:lang w:eastAsia="lt-LT" w:bidi="lt-LT"/>
        </w:rPr>
        <w:t xml:space="preserve">Lietuvos Respublikos civilinio proceso kodekso (toliau – ir </w:t>
      </w:r>
      <w:r w:rsidRPr="00781B9B">
        <w:rPr>
          <w:rFonts w:eastAsia="Times New Roman" w:cs="Times New Roman"/>
          <w:bCs/>
          <w:szCs w:val="24"/>
          <w:lang w:eastAsia="lt-LT" w:bidi="lt-LT"/>
        </w:rPr>
        <w:t>CPK</w:t>
      </w:r>
      <w:r w:rsidR="003156E8">
        <w:rPr>
          <w:rFonts w:eastAsia="Times New Roman" w:cs="Times New Roman"/>
          <w:bCs/>
          <w:szCs w:val="24"/>
          <w:lang w:eastAsia="lt-LT" w:bidi="lt-LT"/>
        </w:rPr>
        <w:t>)</w:t>
      </w:r>
      <w:r w:rsidRPr="00781B9B">
        <w:rPr>
          <w:rFonts w:eastAsia="Times New Roman" w:cs="Times New Roman"/>
          <w:bCs/>
          <w:szCs w:val="24"/>
          <w:lang w:eastAsia="lt-LT" w:bidi="lt-LT"/>
        </w:rPr>
        <w:t> 178 straipsnis).</w:t>
      </w:r>
    </w:p>
    <w:p w14:paraId="338BF7CC" w14:textId="7B9E1FA9" w:rsidR="00FD230A" w:rsidRPr="00781B9B" w:rsidRDefault="00781B9B" w:rsidP="004F66CB">
      <w:pPr>
        <w:numPr>
          <w:ilvl w:val="0"/>
          <w:numId w:val="1"/>
        </w:numPr>
        <w:spacing w:after="120" w:line="240" w:lineRule="auto"/>
        <w:ind w:left="357" w:hanging="357"/>
        <w:jc w:val="both"/>
        <w:rPr>
          <w:rFonts w:eastAsia="Times New Roman" w:cs="Times New Roman"/>
          <w:bCs/>
          <w:szCs w:val="24"/>
          <w:lang w:eastAsia="lt-LT" w:bidi="lt-LT"/>
        </w:rPr>
      </w:pPr>
      <w:r w:rsidRPr="00781B9B">
        <w:rPr>
          <w:rFonts w:eastAsia="Times New Roman" w:cs="Times New Roman"/>
          <w:bCs/>
          <w:szCs w:val="24"/>
          <w:lang w:eastAsia="lt-LT" w:bidi="lt-LT"/>
        </w:rPr>
        <w:t>Apeliacinės instancijos teismas, įvertinęs teisinį reguliavimą, konstatavo, kad vaistinio preparato įtraukimas į kompensuojamų</w:t>
      </w:r>
      <w:r w:rsidR="008D61EA">
        <w:rPr>
          <w:rFonts w:eastAsia="Times New Roman" w:cs="Times New Roman"/>
          <w:bCs/>
          <w:szCs w:val="24"/>
          <w:lang w:eastAsia="lt-LT" w:bidi="lt-LT"/>
        </w:rPr>
        <w:t>jų</w:t>
      </w:r>
      <w:r w:rsidRPr="00781B9B">
        <w:rPr>
          <w:rFonts w:eastAsia="Times New Roman" w:cs="Times New Roman"/>
          <w:bCs/>
          <w:szCs w:val="24"/>
          <w:lang w:eastAsia="lt-LT" w:bidi="lt-LT"/>
        </w:rPr>
        <w:t xml:space="preserve"> vaistų sąrašą yra tiesiogiai siejamas su sutarties dėl rizikos pasidali</w:t>
      </w:r>
      <w:r w:rsidR="00CD4FCD">
        <w:rPr>
          <w:rFonts w:eastAsia="Times New Roman" w:cs="Times New Roman"/>
          <w:bCs/>
          <w:szCs w:val="24"/>
          <w:lang w:eastAsia="lt-LT" w:bidi="lt-LT"/>
        </w:rPr>
        <w:t>jimo</w:t>
      </w:r>
      <w:r w:rsidRPr="00781B9B">
        <w:rPr>
          <w:rFonts w:eastAsia="Times New Roman" w:cs="Times New Roman"/>
          <w:bCs/>
          <w:szCs w:val="24"/>
          <w:lang w:eastAsia="lt-LT" w:bidi="lt-LT"/>
        </w:rPr>
        <w:t xml:space="preserve"> sudarymu, t. y. Aprašo 16.1 punkte </w:t>
      </w:r>
      <w:proofErr w:type="spellStart"/>
      <w:r w:rsidRPr="00781B9B">
        <w:rPr>
          <w:rFonts w:eastAsia="Times New Roman" w:cs="Times New Roman"/>
          <w:bCs/>
          <w:szCs w:val="24"/>
          <w:lang w:eastAsia="lt-LT" w:bidi="lt-LT"/>
        </w:rPr>
        <w:t>eksplicitiškai</w:t>
      </w:r>
      <w:proofErr w:type="spellEnd"/>
      <w:r w:rsidRPr="00781B9B">
        <w:rPr>
          <w:rFonts w:eastAsia="Times New Roman" w:cs="Times New Roman"/>
          <w:bCs/>
          <w:szCs w:val="24"/>
          <w:lang w:eastAsia="lt-LT" w:bidi="lt-LT"/>
        </w:rPr>
        <w:t xml:space="preserve"> įtvirtintas reikalavimas sudaryti sutartį dėl jau įrašytų į kompensuojamųjų vaistų sąrašą vaistinių preparatų</w:t>
      </w:r>
      <w:r w:rsidR="000A1DBB">
        <w:rPr>
          <w:rFonts w:eastAsia="Times New Roman" w:cs="Times New Roman"/>
          <w:bCs/>
          <w:szCs w:val="24"/>
          <w:lang w:eastAsia="lt-LT" w:bidi="lt-LT"/>
        </w:rPr>
        <w:t>,</w:t>
      </w:r>
      <w:r w:rsidRPr="00781B9B">
        <w:rPr>
          <w:rFonts w:eastAsia="Times New Roman" w:cs="Times New Roman"/>
          <w:bCs/>
          <w:szCs w:val="24"/>
          <w:lang w:eastAsia="lt-LT" w:bidi="lt-LT"/>
        </w:rPr>
        <w:t xml:space="preserve"> iki kol vaistiniai preparatai dar nėra įrašyti į naują einamųjų metų kainyną.</w:t>
      </w:r>
      <w:r w:rsidR="008908BF">
        <w:rPr>
          <w:rFonts w:eastAsia="Times New Roman" w:cs="Times New Roman"/>
          <w:bCs/>
          <w:szCs w:val="24"/>
          <w:lang w:eastAsia="lt-LT" w:bidi="lt-LT"/>
        </w:rPr>
        <w:t xml:space="preserve"> </w:t>
      </w:r>
      <w:r w:rsidRPr="00781B9B">
        <w:rPr>
          <w:rFonts w:eastAsia="Times New Roman" w:cs="Times New Roman"/>
          <w:bCs/>
          <w:szCs w:val="24"/>
          <w:lang w:eastAsia="lt-LT" w:bidi="lt-LT"/>
        </w:rPr>
        <w:t xml:space="preserve">2020 metais atsakovės gaminamas vaistas </w:t>
      </w:r>
      <w:r w:rsidR="00C724C2">
        <w:rPr>
          <w:rFonts w:eastAsia="Times New Roman" w:cs="Times New Roman"/>
          <w:bCs/>
          <w:szCs w:val="24"/>
          <w:lang w:eastAsia="lt-LT" w:bidi="lt-LT"/>
        </w:rPr>
        <w:t>„</w:t>
      </w:r>
      <w:proofErr w:type="spellStart"/>
      <w:r w:rsidRPr="00781B9B">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Pr="00781B9B">
        <w:rPr>
          <w:rFonts w:eastAsia="Times New Roman" w:cs="Times New Roman"/>
          <w:bCs/>
          <w:szCs w:val="24"/>
          <w:lang w:eastAsia="lt-LT" w:bidi="lt-LT"/>
        </w:rPr>
        <w:t xml:space="preserve"> buvo kompensuojamų</w:t>
      </w:r>
      <w:r w:rsidR="00CD4FCD">
        <w:rPr>
          <w:rFonts w:eastAsia="Times New Roman" w:cs="Times New Roman"/>
          <w:bCs/>
          <w:szCs w:val="24"/>
          <w:lang w:eastAsia="lt-LT" w:bidi="lt-LT"/>
        </w:rPr>
        <w:t>jų</w:t>
      </w:r>
      <w:r w:rsidRPr="00781B9B">
        <w:rPr>
          <w:rFonts w:eastAsia="Times New Roman" w:cs="Times New Roman"/>
          <w:bCs/>
          <w:szCs w:val="24"/>
          <w:lang w:eastAsia="lt-LT" w:bidi="lt-LT"/>
        </w:rPr>
        <w:t xml:space="preserve"> vaistų sąraše, todėl atsakovė turėjo pareigą sudaryti sutartį, o jos nesudarius nėra galimybės dalyvauti kompensuojamų</w:t>
      </w:r>
      <w:r w:rsidR="008D61EA">
        <w:rPr>
          <w:rFonts w:eastAsia="Times New Roman" w:cs="Times New Roman"/>
          <w:bCs/>
          <w:szCs w:val="24"/>
          <w:lang w:eastAsia="lt-LT" w:bidi="lt-LT"/>
        </w:rPr>
        <w:t>jų</w:t>
      </w:r>
      <w:r w:rsidRPr="00781B9B">
        <w:rPr>
          <w:rFonts w:eastAsia="Times New Roman" w:cs="Times New Roman"/>
          <w:bCs/>
          <w:szCs w:val="24"/>
          <w:lang w:eastAsia="lt-LT" w:bidi="lt-LT"/>
        </w:rPr>
        <w:t xml:space="preserve"> vaistų t</w:t>
      </w:r>
      <w:r w:rsidR="000A1DBB">
        <w:rPr>
          <w:rFonts w:eastAsia="Times New Roman" w:cs="Times New Roman"/>
          <w:bCs/>
          <w:szCs w:val="24"/>
          <w:lang w:eastAsia="lt-LT" w:bidi="lt-LT"/>
        </w:rPr>
        <w:t>ie</w:t>
      </w:r>
      <w:r w:rsidRPr="00781B9B">
        <w:rPr>
          <w:rFonts w:eastAsia="Times New Roman" w:cs="Times New Roman"/>
          <w:bCs/>
          <w:szCs w:val="24"/>
          <w:lang w:eastAsia="lt-LT" w:bidi="lt-LT"/>
        </w:rPr>
        <w:t>kimo sistemoje</w:t>
      </w:r>
      <w:r>
        <w:rPr>
          <w:rFonts w:eastAsia="Times New Roman" w:cs="Times New Roman"/>
          <w:bCs/>
          <w:szCs w:val="24"/>
          <w:lang w:eastAsia="lt-LT" w:bidi="lt-LT"/>
        </w:rPr>
        <w:t>.</w:t>
      </w:r>
    </w:p>
    <w:p w14:paraId="1BAE0DDA" w14:textId="1728C95C" w:rsidR="00781B9B" w:rsidRDefault="00781B9B" w:rsidP="004F66CB">
      <w:pPr>
        <w:numPr>
          <w:ilvl w:val="0"/>
          <w:numId w:val="1"/>
        </w:numPr>
        <w:spacing w:after="120" w:line="240" w:lineRule="auto"/>
        <w:ind w:left="357" w:hanging="357"/>
        <w:jc w:val="both"/>
        <w:rPr>
          <w:rFonts w:eastAsia="Times New Roman" w:cs="Times New Roman"/>
          <w:bCs/>
          <w:szCs w:val="24"/>
          <w:lang w:eastAsia="lt-LT" w:bidi="lt-LT"/>
        </w:rPr>
      </w:pPr>
      <w:r w:rsidRPr="00781B9B">
        <w:rPr>
          <w:rFonts w:eastAsia="Times New Roman" w:cs="Times New Roman"/>
          <w:bCs/>
          <w:szCs w:val="24"/>
          <w:lang w:eastAsia="lt-LT" w:bidi="lt-LT"/>
        </w:rPr>
        <w:t xml:space="preserve">Apeliacinės instancijos teismas </w:t>
      </w:r>
      <w:r w:rsidR="000A1DBB">
        <w:rPr>
          <w:rFonts w:eastAsia="Times New Roman" w:cs="Times New Roman"/>
          <w:bCs/>
          <w:szCs w:val="24"/>
          <w:lang w:eastAsia="lt-LT" w:bidi="lt-LT"/>
        </w:rPr>
        <w:t>nu</w:t>
      </w:r>
      <w:r w:rsidRPr="00781B9B">
        <w:rPr>
          <w:rFonts w:eastAsia="Times New Roman" w:cs="Times New Roman"/>
          <w:bCs/>
          <w:szCs w:val="24"/>
          <w:lang w:eastAsia="lt-LT" w:bidi="lt-LT"/>
        </w:rPr>
        <w:t>sprendė, kad tai, jog atsakovė pagal šalių sudarytą Taikos sutartį, kuri yra patvirtinta įsite</w:t>
      </w:r>
      <w:r w:rsidR="008D61EA">
        <w:rPr>
          <w:rFonts w:eastAsia="Times New Roman" w:cs="Times New Roman"/>
          <w:bCs/>
          <w:szCs w:val="24"/>
          <w:lang w:eastAsia="lt-LT" w:bidi="lt-LT"/>
        </w:rPr>
        <w:t>i</w:t>
      </w:r>
      <w:r w:rsidRPr="00781B9B">
        <w:rPr>
          <w:rFonts w:eastAsia="Times New Roman" w:cs="Times New Roman"/>
          <w:bCs/>
          <w:szCs w:val="24"/>
          <w:lang w:eastAsia="lt-LT" w:bidi="lt-LT"/>
        </w:rPr>
        <w:t>sėjusia teismo nutartimi, įsipareigojo sumokėti ir sumokėjo 2018</w:t>
      </w:r>
      <w:r w:rsidR="000A1DBB">
        <w:rPr>
          <w:rFonts w:eastAsia="Times New Roman" w:cs="Times New Roman"/>
          <w:bCs/>
          <w:szCs w:val="24"/>
          <w:lang w:eastAsia="lt-LT" w:bidi="lt-LT"/>
        </w:rPr>
        <w:t> </w:t>
      </w:r>
      <w:r w:rsidRPr="00781B9B">
        <w:rPr>
          <w:rFonts w:eastAsia="Times New Roman" w:cs="Times New Roman"/>
          <w:bCs/>
          <w:szCs w:val="24"/>
          <w:lang w:eastAsia="lt-LT" w:bidi="lt-LT"/>
        </w:rPr>
        <w:t>ir 2019</w:t>
      </w:r>
      <w:r w:rsidR="00E231CD">
        <w:rPr>
          <w:rFonts w:eastAsia="Times New Roman" w:cs="Times New Roman"/>
          <w:bCs/>
          <w:szCs w:val="24"/>
          <w:lang w:eastAsia="lt-LT" w:bidi="lt-LT"/>
        </w:rPr>
        <w:t> </w:t>
      </w:r>
      <w:r w:rsidRPr="00781B9B">
        <w:rPr>
          <w:rFonts w:eastAsia="Times New Roman" w:cs="Times New Roman"/>
          <w:bCs/>
          <w:szCs w:val="24"/>
          <w:lang w:eastAsia="lt-LT" w:bidi="lt-LT"/>
        </w:rPr>
        <w:t xml:space="preserve">metų prognozuojamas PSDF biudžeto išlaidas vaistui </w:t>
      </w:r>
      <w:r w:rsidR="00C724C2">
        <w:rPr>
          <w:rFonts w:eastAsia="Times New Roman" w:cs="Times New Roman"/>
          <w:bCs/>
          <w:szCs w:val="24"/>
          <w:lang w:eastAsia="lt-LT" w:bidi="lt-LT"/>
        </w:rPr>
        <w:t>„</w:t>
      </w:r>
      <w:proofErr w:type="spellStart"/>
      <w:r w:rsidRPr="00781B9B">
        <w:rPr>
          <w:rFonts w:eastAsia="Times New Roman" w:cs="Times New Roman"/>
          <w:bCs/>
          <w:szCs w:val="24"/>
          <w:lang w:eastAsia="lt-LT" w:bidi="lt-LT"/>
        </w:rPr>
        <w:t>Ranexa</w:t>
      </w:r>
      <w:proofErr w:type="spellEnd"/>
      <w:r w:rsidR="00C724C2">
        <w:rPr>
          <w:rFonts w:eastAsia="Times New Roman" w:cs="Times New Roman"/>
          <w:bCs/>
          <w:szCs w:val="24"/>
          <w:lang w:eastAsia="lt-LT" w:bidi="lt-LT"/>
        </w:rPr>
        <w:t>“</w:t>
      </w:r>
      <w:r w:rsidRPr="00781B9B">
        <w:rPr>
          <w:rFonts w:eastAsia="Times New Roman" w:cs="Times New Roman"/>
          <w:bCs/>
          <w:szCs w:val="24"/>
          <w:lang w:eastAsia="lt-LT" w:bidi="lt-LT"/>
        </w:rPr>
        <w:t xml:space="preserve"> į biudžetą, sudaro pagrindą konstatuoti, kad atsakovė laikė, jog Sutarties galiojimas nesibaigė 201</w:t>
      </w:r>
      <w:r w:rsidR="00460979">
        <w:rPr>
          <w:rFonts w:eastAsia="Times New Roman" w:cs="Times New Roman"/>
          <w:bCs/>
          <w:szCs w:val="24"/>
          <w:lang w:eastAsia="lt-LT" w:bidi="lt-LT"/>
        </w:rPr>
        <w:t>7</w:t>
      </w:r>
      <w:r w:rsidRPr="00781B9B">
        <w:rPr>
          <w:rFonts w:eastAsia="Times New Roman" w:cs="Times New Roman"/>
          <w:bCs/>
          <w:szCs w:val="24"/>
          <w:lang w:eastAsia="lt-LT" w:bidi="lt-LT"/>
        </w:rPr>
        <w:t xml:space="preserve"> metais</w:t>
      </w:r>
      <w:r w:rsidR="000A1DBB">
        <w:rPr>
          <w:rFonts w:eastAsia="Times New Roman" w:cs="Times New Roman"/>
          <w:bCs/>
          <w:szCs w:val="24"/>
          <w:lang w:eastAsia="lt-LT" w:bidi="lt-LT"/>
        </w:rPr>
        <w:t>,</w:t>
      </w:r>
      <w:r w:rsidRPr="00781B9B">
        <w:rPr>
          <w:rFonts w:eastAsia="Times New Roman" w:cs="Times New Roman"/>
          <w:bCs/>
          <w:szCs w:val="24"/>
          <w:lang w:eastAsia="lt-LT" w:bidi="lt-LT"/>
        </w:rPr>
        <w:t xml:space="preserve"> ir pripažino savo pareigą mokėti išlaidas į biudžetą vėlesniais metais, be kita ko, ir 2020 metais.</w:t>
      </w:r>
      <w:r w:rsidRPr="00781B9B">
        <w:rPr>
          <w:rFonts w:eastAsia="Calibri" w:cs="Times New Roman"/>
          <w:lang w:bidi="lt-LT"/>
        </w:rPr>
        <w:t xml:space="preserve"> Apeliacinės instancijos teismas </w:t>
      </w:r>
      <w:r w:rsidRPr="00781B9B">
        <w:rPr>
          <w:rFonts w:eastAsia="Times New Roman" w:cs="Times New Roman"/>
          <w:bCs/>
          <w:szCs w:val="24"/>
          <w:lang w:eastAsia="lt-LT" w:bidi="lt-LT"/>
        </w:rPr>
        <w:t xml:space="preserve">konstatavo, kad pirmosios instancijos teismas pagrįstai </w:t>
      </w:r>
      <w:r w:rsidR="000A1DBB">
        <w:rPr>
          <w:rFonts w:eastAsia="Times New Roman" w:cs="Times New Roman"/>
          <w:bCs/>
          <w:szCs w:val="24"/>
          <w:lang w:eastAsia="lt-LT" w:bidi="lt-LT"/>
        </w:rPr>
        <w:t>nu</w:t>
      </w:r>
      <w:r w:rsidRPr="00781B9B">
        <w:rPr>
          <w:rFonts w:eastAsia="Times New Roman" w:cs="Times New Roman"/>
          <w:bCs/>
          <w:szCs w:val="24"/>
          <w:lang w:eastAsia="lt-LT" w:bidi="lt-LT"/>
        </w:rPr>
        <w:t xml:space="preserve">sprendė esant pagrindą įpareigoti atsakovę sudaryti sutartį dėl 2020 metų prognozuojamų PSDF biudžeto išlaidų vaistui </w:t>
      </w:r>
      <w:r w:rsidR="00E231CD">
        <w:rPr>
          <w:rFonts w:eastAsia="Times New Roman" w:cs="Times New Roman"/>
          <w:bCs/>
          <w:szCs w:val="24"/>
          <w:lang w:eastAsia="lt-LT" w:bidi="lt-LT"/>
        </w:rPr>
        <w:t>„</w:t>
      </w:r>
      <w:proofErr w:type="spellStart"/>
      <w:r w:rsidRPr="00781B9B">
        <w:rPr>
          <w:rFonts w:eastAsia="Times New Roman" w:cs="Times New Roman"/>
          <w:bCs/>
          <w:szCs w:val="24"/>
          <w:lang w:eastAsia="lt-LT" w:bidi="lt-LT"/>
        </w:rPr>
        <w:t>Ranexa</w:t>
      </w:r>
      <w:proofErr w:type="spellEnd"/>
      <w:r w:rsidR="00E231CD">
        <w:rPr>
          <w:rFonts w:eastAsia="Times New Roman" w:cs="Times New Roman"/>
          <w:bCs/>
          <w:szCs w:val="24"/>
          <w:lang w:eastAsia="lt-LT" w:bidi="lt-LT"/>
        </w:rPr>
        <w:t>“</w:t>
      </w:r>
      <w:r w:rsidRPr="00781B9B">
        <w:rPr>
          <w:rFonts w:eastAsia="Times New Roman" w:cs="Times New Roman"/>
          <w:bCs/>
          <w:szCs w:val="24"/>
          <w:lang w:eastAsia="lt-LT" w:bidi="lt-LT"/>
        </w:rPr>
        <w:t>.</w:t>
      </w:r>
    </w:p>
    <w:p w14:paraId="7F561545" w14:textId="0120BB15" w:rsidR="00781B9B" w:rsidRDefault="00781B9B" w:rsidP="004F66CB">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A</w:t>
      </w:r>
      <w:r w:rsidRPr="00781B9B">
        <w:rPr>
          <w:rFonts w:eastAsia="Times New Roman" w:cs="Times New Roman"/>
          <w:bCs/>
          <w:szCs w:val="24"/>
          <w:lang w:eastAsia="lt-LT" w:bidi="lt-LT"/>
        </w:rPr>
        <w:t xml:space="preserve">peliacinės instancijos teismas </w:t>
      </w:r>
      <w:r w:rsidR="000A1DBB">
        <w:rPr>
          <w:rFonts w:eastAsia="Times New Roman" w:cs="Times New Roman"/>
          <w:bCs/>
          <w:szCs w:val="24"/>
          <w:lang w:eastAsia="lt-LT" w:bidi="lt-LT"/>
        </w:rPr>
        <w:t>nu</w:t>
      </w:r>
      <w:r w:rsidRPr="00781B9B">
        <w:rPr>
          <w:rFonts w:eastAsia="Times New Roman" w:cs="Times New Roman"/>
          <w:bCs/>
          <w:szCs w:val="24"/>
          <w:lang w:eastAsia="lt-LT" w:bidi="lt-LT"/>
        </w:rPr>
        <w:t>sprend</w:t>
      </w:r>
      <w:r>
        <w:rPr>
          <w:rFonts w:eastAsia="Times New Roman" w:cs="Times New Roman"/>
          <w:bCs/>
          <w:szCs w:val="24"/>
          <w:lang w:eastAsia="lt-LT" w:bidi="lt-LT"/>
        </w:rPr>
        <w:t>ė</w:t>
      </w:r>
      <w:r w:rsidRPr="00781B9B">
        <w:rPr>
          <w:rFonts w:eastAsia="Times New Roman" w:cs="Times New Roman"/>
          <w:bCs/>
          <w:szCs w:val="24"/>
          <w:lang w:eastAsia="lt-LT" w:bidi="lt-LT"/>
        </w:rPr>
        <w:t xml:space="preserve">, kad nors </w:t>
      </w:r>
      <w:r>
        <w:rPr>
          <w:rFonts w:eastAsia="Times New Roman" w:cs="Times New Roman"/>
          <w:bCs/>
          <w:szCs w:val="24"/>
          <w:lang w:eastAsia="lt-LT" w:bidi="lt-LT"/>
        </w:rPr>
        <w:t>VLK</w:t>
      </w:r>
      <w:r w:rsidRPr="00781B9B">
        <w:rPr>
          <w:rFonts w:eastAsia="Times New Roman" w:cs="Times New Roman"/>
          <w:bCs/>
          <w:szCs w:val="24"/>
          <w:lang w:eastAsia="lt-LT" w:bidi="lt-LT"/>
        </w:rPr>
        <w:t xml:space="preserve"> sutarties dėl 2020 metų prognozuojamų PSDF biudžeto išlaidų projektą atsakovei pateikė pažeidusi teisės akte nustatytą terminą</w:t>
      </w:r>
      <w:r>
        <w:rPr>
          <w:rFonts w:eastAsia="Times New Roman" w:cs="Times New Roman"/>
          <w:bCs/>
          <w:szCs w:val="24"/>
          <w:lang w:eastAsia="lt-LT" w:bidi="lt-LT"/>
        </w:rPr>
        <w:t xml:space="preserve"> (Aprašo 11 punktas)</w:t>
      </w:r>
      <w:r w:rsidRPr="00781B9B">
        <w:rPr>
          <w:rFonts w:eastAsia="Times New Roman" w:cs="Times New Roman"/>
          <w:bCs/>
          <w:szCs w:val="24"/>
          <w:lang w:eastAsia="lt-LT" w:bidi="lt-LT"/>
        </w:rPr>
        <w:t xml:space="preserve">, tačiau ši aplinkybė, įvertinus priežastį, dėl kurios terminas buvo praleistas, t. y. jog </w:t>
      </w:r>
      <w:r>
        <w:rPr>
          <w:rFonts w:eastAsia="Times New Roman" w:cs="Times New Roman"/>
          <w:bCs/>
          <w:szCs w:val="24"/>
          <w:lang w:eastAsia="lt-LT" w:bidi="lt-LT"/>
        </w:rPr>
        <w:t>VLK</w:t>
      </w:r>
      <w:r w:rsidRPr="00781B9B">
        <w:rPr>
          <w:rFonts w:eastAsia="Times New Roman" w:cs="Times New Roman"/>
          <w:bCs/>
          <w:szCs w:val="24"/>
          <w:lang w:eastAsia="lt-LT" w:bidi="lt-LT"/>
        </w:rPr>
        <w:t xml:space="preserve"> negalėjo apskaičiuoti 2020 metams prognozuojamų išlaidų</w:t>
      </w:r>
      <w:r w:rsidR="000A1DBB">
        <w:rPr>
          <w:rFonts w:eastAsia="Times New Roman" w:cs="Times New Roman"/>
          <w:bCs/>
          <w:szCs w:val="24"/>
          <w:lang w:eastAsia="lt-LT" w:bidi="lt-LT"/>
        </w:rPr>
        <w:t>,</w:t>
      </w:r>
      <w:r w:rsidRPr="00781B9B">
        <w:rPr>
          <w:rFonts w:eastAsia="Times New Roman" w:cs="Times New Roman"/>
          <w:bCs/>
          <w:szCs w:val="24"/>
          <w:lang w:eastAsia="lt-LT" w:bidi="lt-LT"/>
        </w:rPr>
        <w:t xml:space="preserve"> iki nebus inicijuotame teismo procese nustatytas 2019 metų minėtų išlaidų dydis, nepaneigia atsakovės įpareigojimo sudaryti sutartį dėl 2020 metų prognozuojamų PSDF biudžeto išlaidų vaistui </w:t>
      </w:r>
      <w:r w:rsidR="00E231CD">
        <w:rPr>
          <w:rFonts w:eastAsia="Times New Roman" w:cs="Times New Roman"/>
          <w:bCs/>
          <w:szCs w:val="24"/>
          <w:lang w:eastAsia="lt-LT" w:bidi="lt-LT"/>
        </w:rPr>
        <w:t>„</w:t>
      </w:r>
      <w:proofErr w:type="spellStart"/>
      <w:r w:rsidRPr="00781B9B">
        <w:rPr>
          <w:rFonts w:eastAsia="Times New Roman" w:cs="Times New Roman"/>
          <w:bCs/>
          <w:szCs w:val="24"/>
          <w:lang w:eastAsia="lt-LT" w:bidi="lt-LT"/>
        </w:rPr>
        <w:t>Ranexa</w:t>
      </w:r>
      <w:proofErr w:type="spellEnd"/>
      <w:r w:rsidR="00E231CD">
        <w:rPr>
          <w:rFonts w:eastAsia="Times New Roman" w:cs="Times New Roman"/>
          <w:bCs/>
          <w:szCs w:val="24"/>
          <w:lang w:eastAsia="lt-LT" w:bidi="lt-LT"/>
        </w:rPr>
        <w:t>“</w:t>
      </w:r>
      <w:r w:rsidRPr="00781B9B">
        <w:rPr>
          <w:rFonts w:eastAsia="Times New Roman" w:cs="Times New Roman"/>
          <w:bCs/>
          <w:szCs w:val="24"/>
          <w:lang w:eastAsia="lt-LT" w:bidi="lt-LT"/>
        </w:rPr>
        <w:t xml:space="preserve"> teisėtumo ir pagrįstumo</w:t>
      </w:r>
      <w:r>
        <w:rPr>
          <w:rFonts w:eastAsia="Times New Roman" w:cs="Times New Roman"/>
          <w:bCs/>
          <w:szCs w:val="24"/>
          <w:lang w:eastAsia="lt-LT" w:bidi="lt-LT"/>
        </w:rPr>
        <w:t>.</w:t>
      </w:r>
    </w:p>
    <w:p w14:paraId="247AF74C" w14:textId="5961144D" w:rsidR="00781B9B" w:rsidRPr="00781B9B" w:rsidRDefault="00781B9B" w:rsidP="004F66CB">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Apeliacinės instancijos teismas</w:t>
      </w:r>
      <w:r w:rsidRPr="00781B9B">
        <w:rPr>
          <w:rFonts w:eastAsia="Times New Roman" w:cs="Times New Roman"/>
          <w:bCs/>
          <w:szCs w:val="24"/>
          <w:lang w:eastAsia="lt-LT" w:bidi="lt-LT"/>
        </w:rPr>
        <w:t xml:space="preserve"> </w:t>
      </w:r>
      <w:r w:rsidR="000A1DBB">
        <w:rPr>
          <w:rFonts w:eastAsia="Times New Roman" w:cs="Times New Roman"/>
          <w:bCs/>
          <w:szCs w:val="24"/>
          <w:lang w:eastAsia="lt-LT" w:bidi="lt-LT"/>
        </w:rPr>
        <w:t>nu</w:t>
      </w:r>
      <w:r w:rsidRPr="00781B9B">
        <w:rPr>
          <w:rFonts w:eastAsia="Times New Roman" w:cs="Times New Roman"/>
          <w:bCs/>
          <w:szCs w:val="24"/>
          <w:lang w:eastAsia="lt-LT" w:bidi="lt-LT"/>
        </w:rPr>
        <w:t>spren</w:t>
      </w:r>
      <w:r>
        <w:rPr>
          <w:rFonts w:eastAsia="Times New Roman" w:cs="Times New Roman"/>
          <w:bCs/>
          <w:szCs w:val="24"/>
          <w:lang w:eastAsia="lt-LT" w:bidi="lt-LT"/>
        </w:rPr>
        <w:t>dė</w:t>
      </w:r>
      <w:r w:rsidRPr="00781B9B">
        <w:rPr>
          <w:rFonts w:eastAsia="Times New Roman" w:cs="Times New Roman"/>
          <w:bCs/>
          <w:szCs w:val="24"/>
          <w:lang w:eastAsia="lt-LT" w:bidi="lt-LT"/>
        </w:rPr>
        <w:t>, kad pirmosios instancijos teismas tinkamai įvertino į bylą pateiktus įrodymus ir priėmė teisėtą bei pagrįstą sprendimą, kurio naikinti n</w:t>
      </w:r>
      <w:r w:rsidR="008908BF">
        <w:rPr>
          <w:rFonts w:eastAsia="Times New Roman" w:cs="Times New Roman"/>
          <w:bCs/>
          <w:szCs w:val="24"/>
          <w:lang w:eastAsia="lt-LT" w:bidi="lt-LT"/>
        </w:rPr>
        <w:t>ebuvo</w:t>
      </w:r>
      <w:r w:rsidRPr="00781B9B">
        <w:rPr>
          <w:rFonts w:eastAsia="Times New Roman" w:cs="Times New Roman"/>
          <w:bCs/>
          <w:szCs w:val="24"/>
          <w:lang w:eastAsia="lt-LT" w:bidi="lt-LT"/>
        </w:rPr>
        <w:t xml:space="preserve"> teisinio pagrindo</w:t>
      </w:r>
      <w:r>
        <w:rPr>
          <w:rFonts w:eastAsia="Times New Roman" w:cs="Times New Roman"/>
          <w:bCs/>
          <w:szCs w:val="24"/>
          <w:lang w:eastAsia="lt-LT" w:bidi="lt-LT"/>
        </w:rPr>
        <w:t>.</w:t>
      </w:r>
    </w:p>
    <w:bookmarkEnd w:id="8"/>
    <w:p w14:paraId="1C6DE292" w14:textId="77777777" w:rsidR="00FD230A" w:rsidRDefault="00FD230A" w:rsidP="00AC00DC">
      <w:pPr>
        <w:shd w:val="clear" w:color="auto" w:fill="FFFFFF"/>
        <w:tabs>
          <w:tab w:val="left" w:pos="709"/>
        </w:tabs>
        <w:spacing w:after="120" w:line="240" w:lineRule="auto"/>
        <w:ind w:left="720" w:hanging="357"/>
        <w:jc w:val="center"/>
        <w:rPr>
          <w:rFonts w:eastAsia="Times New Roman" w:cs="Times New Roman"/>
          <w:bCs/>
          <w:szCs w:val="24"/>
          <w:lang w:eastAsia="lt-LT" w:bidi="lt-LT"/>
        </w:rPr>
      </w:pPr>
    </w:p>
    <w:p w14:paraId="0BCE55EC" w14:textId="77777777" w:rsidR="001219A1" w:rsidRDefault="001219A1" w:rsidP="00AC00DC">
      <w:pPr>
        <w:shd w:val="clear" w:color="auto" w:fill="FFFFFF"/>
        <w:tabs>
          <w:tab w:val="left" w:pos="709"/>
        </w:tabs>
        <w:spacing w:after="120" w:line="240" w:lineRule="auto"/>
        <w:ind w:left="720" w:hanging="357"/>
        <w:jc w:val="center"/>
        <w:rPr>
          <w:rFonts w:eastAsia="Times New Roman" w:cs="Times New Roman"/>
          <w:bCs/>
          <w:szCs w:val="24"/>
          <w:lang w:eastAsia="lt-LT" w:bidi="lt-LT"/>
        </w:rPr>
      </w:pPr>
    </w:p>
    <w:p w14:paraId="2522F8A6" w14:textId="77777777" w:rsidR="001219A1" w:rsidRDefault="001219A1" w:rsidP="00AC00DC">
      <w:pPr>
        <w:shd w:val="clear" w:color="auto" w:fill="FFFFFF"/>
        <w:tabs>
          <w:tab w:val="left" w:pos="709"/>
        </w:tabs>
        <w:spacing w:after="120" w:line="240" w:lineRule="auto"/>
        <w:ind w:left="720" w:hanging="357"/>
        <w:jc w:val="center"/>
        <w:rPr>
          <w:rFonts w:eastAsia="Times New Roman" w:cs="Times New Roman"/>
          <w:bCs/>
          <w:szCs w:val="24"/>
          <w:lang w:eastAsia="lt-LT" w:bidi="lt-LT"/>
        </w:rPr>
      </w:pPr>
    </w:p>
    <w:p w14:paraId="1220B06E" w14:textId="77777777" w:rsidR="001219A1" w:rsidRDefault="001219A1" w:rsidP="00AC00DC">
      <w:pPr>
        <w:shd w:val="clear" w:color="auto" w:fill="FFFFFF"/>
        <w:tabs>
          <w:tab w:val="left" w:pos="709"/>
        </w:tabs>
        <w:spacing w:after="120" w:line="240" w:lineRule="auto"/>
        <w:ind w:left="720" w:hanging="357"/>
        <w:jc w:val="center"/>
        <w:rPr>
          <w:rFonts w:eastAsia="Times New Roman" w:cs="Times New Roman"/>
          <w:bCs/>
          <w:szCs w:val="24"/>
          <w:lang w:eastAsia="lt-LT" w:bidi="lt-LT"/>
        </w:rPr>
      </w:pPr>
    </w:p>
    <w:p w14:paraId="75B3AFB8" w14:textId="77777777" w:rsidR="001219A1" w:rsidRPr="005610FC" w:rsidRDefault="001219A1" w:rsidP="00AC00DC">
      <w:pPr>
        <w:shd w:val="clear" w:color="auto" w:fill="FFFFFF"/>
        <w:tabs>
          <w:tab w:val="left" w:pos="709"/>
        </w:tabs>
        <w:spacing w:after="120" w:line="240" w:lineRule="auto"/>
        <w:ind w:left="720" w:hanging="357"/>
        <w:jc w:val="center"/>
        <w:rPr>
          <w:rFonts w:eastAsia="Times New Roman" w:cs="Times New Roman"/>
          <w:bCs/>
          <w:szCs w:val="24"/>
          <w:lang w:eastAsia="lt-LT" w:bidi="lt-LT"/>
        </w:rPr>
      </w:pPr>
    </w:p>
    <w:p w14:paraId="3E99CB36" w14:textId="77777777" w:rsidR="00AC00DC" w:rsidRPr="005610FC" w:rsidRDefault="00AC00DC" w:rsidP="00AC00DC">
      <w:pPr>
        <w:shd w:val="clear" w:color="auto" w:fill="FFFFFF"/>
        <w:tabs>
          <w:tab w:val="left" w:pos="709"/>
        </w:tabs>
        <w:spacing w:after="120" w:line="240" w:lineRule="auto"/>
        <w:ind w:left="720" w:hanging="357"/>
        <w:jc w:val="center"/>
        <w:rPr>
          <w:rFonts w:eastAsia="Times New Roman" w:cs="Times New Roman"/>
          <w:szCs w:val="24"/>
          <w:lang w:eastAsia="lt-LT"/>
        </w:rPr>
      </w:pPr>
      <w:r w:rsidRPr="005610FC">
        <w:rPr>
          <w:rFonts w:eastAsia="Times New Roman" w:cs="Times New Roman"/>
          <w:szCs w:val="24"/>
          <w:lang w:eastAsia="lt-LT"/>
        </w:rPr>
        <w:lastRenderedPageBreak/>
        <w:t xml:space="preserve">III. </w:t>
      </w:r>
      <w:r w:rsidR="008314EE" w:rsidRPr="005610FC">
        <w:rPr>
          <w:szCs w:val="24"/>
        </w:rPr>
        <w:t>Kasacinio skundo ir atsiliepimo į jį teisiniai argumentai</w:t>
      </w:r>
    </w:p>
    <w:p w14:paraId="2D15BE18" w14:textId="77777777" w:rsidR="00AC00DC" w:rsidRPr="005610FC" w:rsidRDefault="00AC00DC" w:rsidP="00E34812">
      <w:pPr>
        <w:spacing w:after="120" w:line="240" w:lineRule="auto"/>
        <w:ind w:firstLine="720"/>
        <w:jc w:val="both"/>
        <w:rPr>
          <w:rFonts w:eastAsia="Times New Roman" w:cs="Times New Roman"/>
          <w:szCs w:val="24"/>
          <w:lang w:eastAsia="lt-LT"/>
        </w:rPr>
      </w:pPr>
    </w:p>
    <w:p w14:paraId="362A72A4" w14:textId="70BFDE02" w:rsidR="00AC00DC" w:rsidRPr="00943B23" w:rsidRDefault="00AC00DC" w:rsidP="00490158">
      <w:pPr>
        <w:numPr>
          <w:ilvl w:val="0"/>
          <w:numId w:val="1"/>
        </w:numPr>
        <w:spacing w:after="120" w:line="240" w:lineRule="auto"/>
        <w:ind w:left="357" w:hanging="357"/>
        <w:jc w:val="both"/>
        <w:rPr>
          <w:rFonts w:eastAsia="Times New Roman" w:cs="Times New Roman"/>
          <w:bCs/>
          <w:szCs w:val="24"/>
          <w:lang w:eastAsia="lt-LT" w:bidi="lt-LT"/>
        </w:rPr>
      </w:pPr>
      <w:bookmarkStart w:id="9" w:name="_Hlk117589090"/>
      <w:r w:rsidRPr="005610FC">
        <w:rPr>
          <w:rFonts w:eastAsia="Times New Roman" w:cs="Times New Roman"/>
          <w:bCs/>
          <w:szCs w:val="24"/>
          <w:lang w:eastAsia="lt-LT" w:bidi="lt-LT"/>
        </w:rPr>
        <w:t xml:space="preserve">Kasaciniu skundu </w:t>
      </w:r>
      <w:r w:rsidR="00781B9B" w:rsidRPr="005610FC">
        <w:rPr>
          <w:rFonts w:eastAsia="Times New Roman" w:cs="Times New Roman"/>
          <w:bCs/>
          <w:szCs w:val="24"/>
          <w:lang w:eastAsia="lt-LT" w:bidi="lt-LT"/>
        </w:rPr>
        <w:t>atsakovė</w:t>
      </w:r>
      <w:r w:rsidR="009D088D">
        <w:rPr>
          <w:rFonts w:eastAsia="Times New Roman" w:cs="Times New Roman"/>
          <w:bCs/>
          <w:szCs w:val="24"/>
          <w:lang w:eastAsia="lt-LT" w:bidi="lt-LT"/>
        </w:rPr>
        <w:t xml:space="preserve"> </w:t>
      </w:r>
      <w:r w:rsidR="00EA117E" w:rsidRPr="005610FC">
        <w:rPr>
          <w:rFonts w:eastAsia="Times New Roman" w:cs="Times New Roman"/>
          <w:bCs/>
          <w:szCs w:val="24"/>
          <w:lang w:eastAsia="lt-LT" w:bidi="lt-LT"/>
        </w:rPr>
        <w:t xml:space="preserve">prašo panaikinti </w:t>
      </w:r>
      <w:bookmarkStart w:id="10" w:name="_Hlk133922584"/>
      <w:bookmarkStart w:id="11" w:name="_Hlk130393502"/>
      <w:bookmarkStart w:id="12" w:name="_Hlk128139444"/>
      <w:r w:rsidR="005610FC" w:rsidRPr="005610FC">
        <w:rPr>
          <w:rFonts w:eastAsia="Times New Roman" w:cs="Times New Roman"/>
          <w:bCs/>
          <w:szCs w:val="24"/>
          <w:lang w:eastAsia="lt-LT" w:bidi="lt-LT"/>
        </w:rPr>
        <w:t>Lietuvos apeliacinio</w:t>
      </w:r>
      <w:r w:rsidR="00270637" w:rsidRPr="005610FC">
        <w:rPr>
          <w:rFonts w:eastAsia="Times New Roman" w:cs="Times New Roman"/>
          <w:bCs/>
          <w:szCs w:val="24"/>
          <w:lang w:eastAsia="lt-LT" w:bidi="lt-LT"/>
        </w:rPr>
        <w:t xml:space="preserve"> teismo Civilinių bylų skyriaus teisėjų kolegijos 202</w:t>
      </w:r>
      <w:r w:rsidR="005610FC" w:rsidRPr="005610FC">
        <w:rPr>
          <w:rFonts w:eastAsia="Times New Roman" w:cs="Times New Roman"/>
          <w:bCs/>
          <w:szCs w:val="24"/>
          <w:lang w:eastAsia="lt-LT" w:bidi="lt-LT"/>
        </w:rPr>
        <w:t>3</w:t>
      </w:r>
      <w:r w:rsidR="00270637" w:rsidRPr="005610FC">
        <w:rPr>
          <w:rFonts w:eastAsia="Times New Roman" w:cs="Times New Roman"/>
          <w:bCs/>
          <w:szCs w:val="24"/>
          <w:lang w:eastAsia="lt-LT" w:bidi="lt-LT"/>
        </w:rPr>
        <w:t xml:space="preserve"> m. </w:t>
      </w:r>
      <w:r w:rsidR="005610FC" w:rsidRPr="005610FC">
        <w:rPr>
          <w:rFonts w:eastAsia="Times New Roman" w:cs="Times New Roman"/>
          <w:bCs/>
          <w:szCs w:val="24"/>
          <w:lang w:eastAsia="lt-LT" w:bidi="lt-LT"/>
        </w:rPr>
        <w:t>vasario7</w:t>
      </w:r>
      <w:r w:rsidR="00270637" w:rsidRPr="005610FC">
        <w:rPr>
          <w:rFonts w:eastAsia="Times New Roman" w:cs="Times New Roman"/>
          <w:bCs/>
          <w:szCs w:val="24"/>
          <w:lang w:eastAsia="lt-LT" w:bidi="lt-LT"/>
        </w:rPr>
        <w:t xml:space="preserve"> d. nutartį ir </w:t>
      </w:r>
      <w:bookmarkEnd w:id="10"/>
      <w:r w:rsidR="005610FC" w:rsidRPr="005610FC">
        <w:rPr>
          <w:rFonts w:eastAsia="Times New Roman" w:cs="Times New Roman"/>
          <w:bCs/>
          <w:szCs w:val="24"/>
          <w:lang w:eastAsia="lt-LT" w:bidi="lt-LT"/>
        </w:rPr>
        <w:t xml:space="preserve">perduoti bylą iš naujo nagrinėti Lietuvos </w:t>
      </w:r>
      <w:r w:rsidR="005610FC" w:rsidRPr="00943B23">
        <w:rPr>
          <w:rFonts w:eastAsia="Times New Roman" w:cs="Times New Roman"/>
          <w:bCs/>
          <w:szCs w:val="24"/>
          <w:lang w:eastAsia="lt-LT" w:bidi="lt-LT"/>
        </w:rPr>
        <w:t>apeliaciniam teismui</w:t>
      </w:r>
      <w:r w:rsidR="00270637" w:rsidRPr="00943B23">
        <w:rPr>
          <w:rFonts w:eastAsia="Times New Roman" w:cs="Times New Roman"/>
          <w:bCs/>
          <w:szCs w:val="24"/>
          <w:lang w:eastAsia="lt-LT" w:bidi="lt-LT"/>
        </w:rPr>
        <w:t xml:space="preserve">. </w:t>
      </w:r>
      <w:bookmarkStart w:id="13" w:name="_Hlk112937654"/>
      <w:bookmarkStart w:id="14" w:name="_Hlk112937804"/>
      <w:bookmarkEnd w:id="11"/>
      <w:bookmarkEnd w:id="12"/>
      <w:r w:rsidRPr="00943B23">
        <w:rPr>
          <w:rFonts w:eastAsia="Times New Roman" w:cs="Times New Roman"/>
          <w:bCs/>
          <w:szCs w:val="24"/>
          <w:lang w:eastAsia="lt-LT" w:bidi="lt-LT"/>
        </w:rPr>
        <w:t xml:space="preserve">Kasacinis skundas </w:t>
      </w:r>
      <w:bookmarkEnd w:id="13"/>
      <w:bookmarkEnd w:id="14"/>
      <w:r w:rsidRPr="00943B23">
        <w:rPr>
          <w:rFonts w:eastAsia="Times New Roman" w:cs="Times New Roman"/>
          <w:bCs/>
          <w:szCs w:val="24"/>
          <w:lang w:eastAsia="lt-LT" w:bidi="lt-LT"/>
        </w:rPr>
        <w:t>grindžiamas šiais argumentais</w:t>
      </w:r>
      <w:bookmarkEnd w:id="9"/>
      <w:r w:rsidRPr="00943B23">
        <w:rPr>
          <w:rFonts w:eastAsia="Times New Roman" w:cs="Times New Roman"/>
          <w:szCs w:val="24"/>
          <w:lang w:eastAsia="lt-LT"/>
        </w:rPr>
        <w:t>:</w:t>
      </w:r>
    </w:p>
    <w:p w14:paraId="157CC1D7" w14:textId="5F027061" w:rsidR="00270637" w:rsidRPr="00943B23" w:rsidRDefault="00270637" w:rsidP="00A31A5D">
      <w:pPr>
        <w:numPr>
          <w:ilvl w:val="1"/>
          <w:numId w:val="1"/>
        </w:numPr>
        <w:spacing w:after="120" w:line="240" w:lineRule="auto"/>
        <w:ind w:left="851" w:hanging="494"/>
        <w:jc w:val="both"/>
        <w:rPr>
          <w:rFonts w:eastAsia="Times New Roman" w:cs="Times New Roman"/>
          <w:bCs/>
          <w:iCs/>
          <w:szCs w:val="24"/>
          <w:lang w:eastAsia="lt-LT" w:bidi="lt-LT"/>
        </w:rPr>
      </w:pPr>
      <w:bookmarkStart w:id="15" w:name="bookmark3"/>
      <w:r w:rsidRPr="00943B23">
        <w:rPr>
          <w:rFonts w:eastAsia="Times New Roman" w:cs="Times New Roman"/>
          <w:bCs/>
          <w:iCs/>
          <w:szCs w:val="24"/>
          <w:lang w:eastAsia="lt-LT" w:bidi="lt-LT"/>
        </w:rPr>
        <w:t xml:space="preserve">Apeliacinės instancijos teismas </w:t>
      </w:r>
      <w:r w:rsidR="005610FC" w:rsidRPr="00943B23">
        <w:rPr>
          <w:rFonts w:eastAsia="Times New Roman" w:cs="Times New Roman"/>
          <w:bCs/>
          <w:iCs/>
          <w:szCs w:val="24"/>
          <w:lang w:eastAsia="lt-LT" w:bidi="lt-LT"/>
        </w:rPr>
        <w:t>nesilaikė</w:t>
      </w:r>
      <w:r w:rsidRPr="00943B23">
        <w:rPr>
          <w:rFonts w:eastAsia="Times New Roman" w:cs="Times New Roman"/>
          <w:bCs/>
          <w:iCs/>
          <w:szCs w:val="24"/>
          <w:lang w:eastAsia="lt-LT" w:bidi="lt-LT"/>
        </w:rPr>
        <w:t xml:space="preserve"> CPK 3</w:t>
      </w:r>
      <w:r w:rsidR="005610FC" w:rsidRPr="00943B23">
        <w:rPr>
          <w:rFonts w:eastAsia="Times New Roman" w:cs="Times New Roman"/>
          <w:bCs/>
          <w:iCs/>
          <w:szCs w:val="24"/>
          <w:lang w:eastAsia="lt-LT" w:bidi="lt-LT"/>
        </w:rPr>
        <w:t>31</w:t>
      </w:r>
      <w:r w:rsidRPr="00943B23">
        <w:rPr>
          <w:rFonts w:eastAsia="Times New Roman" w:cs="Times New Roman"/>
          <w:bCs/>
          <w:iCs/>
          <w:szCs w:val="24"/>
          <w:lang w:eastAsia="lt-LT" w:bidi="lt-LT"/>
        </w:rPr>
        <w:t xml:space="preserve"> straipsn</w:t>
      </w:r>
      <w:r w:rsidR="005610FC" w:rsidRPr="00943B23">
        <w:rPr>
          <w:rFonts w:eastAsia="Times New Roman" w:cs="Times New Roman"/>
          <w:bCs/>
          <w:iCs/>
          <w:szCs w:val="24"/>
          <w:lang w:eastAsia="lt-LT" w:bidi="lt-LT"/>
        </w:rPr>
        <w:t>io 4 dalyje įtvirtintų teismo sprendimui</w:t>
      </w:r>
      <w:r w:rsidR="005610FC" w:rsidRPr="00E6680E">
        <w:rPr>
          <w:rFonts w:eastAsia="Times New Roman" w:cs="Times New Roman"/>
          <w:bCs/>
          <w:iCs/>
          <w:szCs w:val="24"/>
          <w:lang w:eastAsia="lt-LT" w:bidi="lt-LT"/>
        </w:rPr>
        <w:t xml:space="preserve"> (nutarčiai) keliamų reikalavimų – priėmė nutartį, kurioje nebuvo pasisakyta dėl atsakovės apeliaciniame skunde keliamų esminių bylos aplinkybių (CPK 329 straipsnio 2</w:t>
      </w:r>
      <w:r w:rsidR="00E231CD">
        <w:rPr>
          <w:rFonts w:eastAsia="Times New Roman" w:cs="Times New Roman"/>
          <w:bCs/>
          <w:iCs/>
          <w:szCs w:val="24"/>
          <w:lang w:eastAsia="lt-LT" w:bidi="lt-LT"/>
        </w:rPr>
        <w:t> </w:t>
      </w:r>
      <w:r w:rsidR="005610FC" w:rsidRPr="00E6680E">
        <w:rPr>
          <w:rFonts w:eastAsia="Times New Roman" w:cs="Times New Roman"/>
          <w:bCs/>
          <w:iCs/>
          <w:szCs w:val="24"/>
          <w:lang w:eastAsia="lt-LT" w:bidi="lt-LT"/>
        </w:rPr>
        <w:t xml:space="preserve">dalies 4 punktas). </w:t>
      </w:r>
      <w:r w:rsidR="003A675C">
        <w:rPr>
          <w:rFonts w:eastAsia="Times New Roman" w:cs="Times New Roman"/>
          <w:bCs/>
          <w:iCs/>
          <w:szCs w:val="24"/>
          <w:lang w:eastAsia="lt-LT" w:bidi="lt-LT"/>
        </w:rPr>
        <w:t xml:space="preserve">Dėl nurodyto pažeidimo apeliacinės instancijos teismas, nevertindamas atsakovės apeliaciniame skunde pateiktų konkrečių ir išsamių argumentų, patvirtino ieškovės pateiktą faktinės situacijos vertinimą, taip paneigdamas atsakovės teisę į apeliaciją. </w:t>
      </w:r>
      <w:r w:rsidR="00566DAD" w:rsidRPr="00E6680E">
        <w:rPr>
          <w:rFonts w:eastAsia="Times New Roman" w:cs="Times New Roman"/>
          <w:bCs/>
          <w:iCs/>
          <w:szCs w:val="24"/>
          <w:lang w:eastAsia="lt-LT" w:bidi="lt-LT"/>
        </w:rPr>
        <w:t>Skundžiamos apeliacinės instancijos teismo nutarties 24</w:t>
      </w:r>
      <w:r w:rsidR="00E231CD">
        <w:rPr>
          <w:rFonts w:eastAsia="Times New Roman" w:cs="Times New Roman"/>
          <w:bCs/>
          <w:iCs/>
          <w:szCs w:val="24"/>
          <w:lang w:eastAsia="lt-LT" w:bidi="lt-LT"/>
        </w:rPr>
        <w:t>–</w:t>
      </w:r>
      <w:r w:rsidR="00566DAD" w:rsidRPr="00E6680E">
        <w:rPr>
          <w:rFonts w:eastAsia="Times New Roman" w:cs="Times New Roman"/>
          <w:bCs/>
          <w:iCs/>
          <w:szCs w:val="24"/>
          <w:lang w:eastAsia="lt-LT" w:bidi="lt-LT"/>
        </w:rPr>
        <w:t xml:space="preserve">26 pastraipose yra pateikiama atsakovės pozicija arba cituojami kiti šaltiniai. Šiose pastraipose nėra teisinių argumentų, kuriais Lietuvos apeliacinis teismas motyvuotai įvertintų atsakovės poziciją ir apeliaciniame skunde pateiktus argumentus. </w:t>
      </w:r>
      <w:r w:rsidR="00325FE9">
        <w:rPr>
          <w:rFonts w:eastAsia="Times New Roman" w:cs="Times New Roman"/>
          <w:bCs/>
          <w:iCs/>
          <w:szCs w:val="24"/>
          <w:lang w:eastAsia="lt-LT" w:bidi="lt-LT"/>
        </w:rPr>
        <w:t>S</w:t>
      </w:r>
      <w:r w:rsidR="00566DAD" w:rsidRPr="00E6680E">
        <w:rPr>
          <w:rFonts w:eastAsia="Times New Roman" w:cs="Times New Roman"/>
          <w:bCs/>
          <w:iCs/>
          <w:szCs w:val="24"/>
          <w:lang w:eastAsia="lt-LT" w:bidi="lt-LT"/>
        </w:rPr>
        <w:t>kundžiamos Lietuvos apeliacinio teismo nutarties 27</w:t>
      </w:r>
      <w:r w:rsidR="00E231CD">
        <w:rPr>
          <w:rFonts w:eastAsia="Times New Roman" w:cs="Times New Roman"/>
          <w:bCs/>
          <w:iCs/>
          <w:szCs w:val="24"/>
          <w:lang w:eastAsia="lt-LT" w:bidi="lt-LT"/>
        </w:rPr>
        <w:t> </w:t>
      </w:r>
      <w:r w:rsidR="00566DAD" w:rsidRPr="00E6680E">
        <w:rPr>
          <w:rFonts w:eastAsia="Times New Roman" w:cs="Times New Roman"/>
          <w:bCs/>
          <w:iCs/>
          <w:szCs w:val="24"/>
          <w:lang w:eastAsia="lt-LT" w:bidi="lt-LT"/>
        </w:rPr>
        <w:t>pastraipa negali būti laikoma atitinkančia CPK ir ypač Žmogaus teisių ir pagrindinių laisvių apsaugos konvencijos</w:t>
      </w:r>
      <w:r w:rsidR="00E6680E" w:rsidRPr="00E6680E">
        <w:rPr>
          <w:rFonts w:eastAsia="Times New Roman" w:cs="Times New Roman"/>
          <w:bCs/>
          <w:iCs/>
          <w:szCs w:val="24"/>
          <w:lang w:eastAsia="lt-LT" w:bidi="lt-LT"/>
        </w:rPr>
        <w:t xml:space="preserve"> </w:t>
      </w:r>
      <w:r w:rsidR="002240CF">
        <w:rPr>
          <w:rFonts w:eastAsia="Times New Roman" w:cs="Times New Roman"/>
          <w:bCs/>
          <w:iCs/>
          <w:szCs w:val="24"/>
          <w:lang w:eastAsia="lt-LT" w:bidi="lt-LT"/>
        </w:rPr>
        <w:t>(toliau – ir</w:t>
      </w:r>
      <w:r w:rsidR="008908BF">
        <w:rPr>
          <w:rFonts w:eastAsia="Times New Roman" w:cs="Times New Roman"/>
          <w:bCs/>
          <w:iCs/>
          <w:szCs w:val="24"/>
          <w:lang w:eastAsia="lt-LT" w:bidi="lt-LT"/>
        </w:rPr>
        <w:t xml:space="preserve"> </w:t>
      </w:r>
      <w:r w:rsidR="002240CF">
        <w:rPr>
          <w:rFonts w:eastAsia="Times New Roman" w:cs="Times New Roman"/>
          <w:bCs/>
          <w:iCs/>
          <w:szCs w:val="24"/>
          <w:lang w:eastAsia="lt-LT" w:bidi="lt-LT"/>
        </w:rPr>
        <w:t xml:space="preserve">Konvencija) </w:t>
      </w:r>
      <w:r w:rsidR="00E6680E" w:rsidRPr="00E6680E">
        <w:rPr>
          <w:rFonts w:eastAsia="Times New Roman" w:cs="Times New Roman"/>
          <w:bCs/>
          <w:iCs/>
          <w:szCs w:val="24"/>
          <w:lang w:eastAsia="lt-LT" w:bidi="lt-LT"/>
        </w:rPr>
        <w:t>standart</w:t>
      </w:r>
      <w:r w:rsidR="000A1DBB">
        <w:rPr>
          <w:rFonts w:eastAsia="Times New Roman" w:cs="Times New Roman"/>
          <w:bCs/>
          <w:iCs/>
          <w:szCs w:val="24"/>
          <w:lang w:eastAsia="lt-LT" w:bidi="lt-LT"/>
        </w:rPr>
        <w:t>us</w:t>
      </w:r>
      <w:r w:rsidR="00E6680E" w:rsidRPr="00E6680E">
        <w:rPr>
          <w:rFonts w:eastAsia="Times New Roman" w:cs="Times New Roman"/>
          <w:bCs/>
          <w:iCs/>
          <w:szCs w:val="24"/>
          <w:lang w:eastAsia="lt-LT" w:bidi="lt-LT"/>
        </w:rPr>
        <w:t>, keliam</w:t>
      </w:r>
      <w:r w:rsidR="000A1DBB">
        <w:rPr>
          <w:rFonts w:eastAsia="Times New Roman" w:cs="Times New Roman"/>
          <w:bCs/>
          <w:iCs/>
          <w:szCs w:val="24"/>
          <w:lang w:eastAsia="lt-LT" w:bidi="lt-LT"/>
        </w:rPr>
        <w:t>us</w:t>
      </w:r>
      <w:r w:rsidR="00E6680E" w:rsidRPr="00E6680E">
        <w:rPr>
          <w:rFonts w:eastAsia="Times New Roman" w:cs="Times New Roman"/>
          <w:bCs/>
          <w:iCs/>
          <w:szCs w:val="24"/>
          <w:lang w:eastAsia="lt-LT" w:bidi="lt-LT"/>
        </w:rPr>
        <w:t xml:space="preserve"> teismo motyvų dėl esminių bylos aplinkybių turiniui. Jei Lietuvos Aukščiausiasis Teismas laikytų, </w:t>
      </w:r>
      <w:r w:rsidR="00E6680E" w:rsidRPr="00943B23">
        <w:rPr>
          <w:rFonts w:eastAsia="Times New Roman" w:cs="Times New Roman"/>
          <w:bCs/>
          <w:iCs/>
          <w:szCs w:val="24"/>
          <w:lang w:eastAsia="lt-LT" w:bidi="lt-LT"/>
        </w:rPr>
        <w:t>jog apeliacinės instancijos teismo nutartyje pateikti teiginiai dėl Sutarties pripažinimo galiojančia 2020 metais laikytini motyvais, tokiu atveju minėti motyvai laikytini neišsamiais – skundžiamos apeliacinės instancijos teismo nutarties motyvuojamoj</w:t>
      </w:r>
      <w:r w:rsidR="003156E8">
        <w:rPr>
          <w:rFonts w:eastAsia="Times New Roman" w:cs="Times New Roman"/>
          <w:bCs/>
          <w:iCs/>
          <w:szCs w:val="24"/>
          <w:lang w:eastAsia="lt-LT" w:bidi="lt-LT"/>
        </w:rPr>
        <w:t>oj</w:t>
      </w:r>
      <w:r w:rsidR="00E6680E" w:rsidRPr="00943B23">
        <w:rPr>
          <w:rFonts w:eastAsia="Times New Roman" w:cs="Times New Roman"/>
          <w:bCs/>
          <w:iCs/>
          <w:szCs w:val="24"/>
          <w:lang w:eastAsia="lt-LT" w:bidi="lt-LT"/>
        </w:rPr>
        <w:t xml:space="preserve">e dalyje neatsakyta į pagrindinius bylos faktinius ir teisinius aspektus, dėl </w:t>
      </w:r>
      <w:r w:rsidR="000A1DBB">
        <w:rPr>
          <w:rFonts w:eastAsia="Times New Roman" w:cs="Times New Roman"/>
          <w:bCs/>
          <w:iCs/>
          <w:szCs w:val="24"/>
          <w:lang w:eastAsia="lt-LT" w:bidi="lt-LT"/>
        </w:rPr>
        <w:t>t</w:t>
      </w:r>
      <w:r w:rsidR="00E6680E" w:rsidRPr="00943B23">
        <w:rPr>
          <w:rFonts w:eastAsia="Times New Roman" w:cs="Times New Roman"/>
          <w:bCs/>
          <w:iCs/>
          <w:szCs w:val="24"/>
          <w:lang w:eastAsia="lt-LT" w:bidi="lt-LT"/>
        </w:rPr>
        <w:t>o byla galėjo būti išspręsta neteisingai.</w:t>
      </w:r>
    </w:p>
    <w:p w14:paraId="6E251AC9" w14:textId="608D58EF" w:rsidR="00694C5D" w:rsidRDefault="00270637" w:rsidP="00A31A5D">
      <w:pPr>
        <w:numPr>
          <w:ilvl w:val="1"/>
          <w:numId w:val="1"/>
        </w:numPr>
        <w:spacing w:after="120" w:line="240" w:lineRule="auto"/>
        <w:ind w:left="851" w:hanging="494"/>
        <w:jc w:val="both"/>
        <w:rPr>
          <w:rFonts w:eastAsia="Times New Roman" w:cs="Times New Roman"/>
          <w:bCs/>
          <w:iCs/>
          <w:szCs w:val="24"/>
          <w:lang w:eastAsia="lt-LT" w:bidi="lt-LT"/>
        </w:rPr>
      </w:pPr>
      <w:r w:rsidRPr="00943B23">
        <w:rPr>
          <w:rFonts w:eastAsia="Times New Roman" w:cs="Times New Roman"/>
          <w:bCs/>
          <w:iCs/>
          <w:szCs w:val="24"/>
          <w:lang w:eastAsia="lt-LT" w:bidi="lt-LT"/>
        </w:rPr>
        <w:t xml:space="preserve">Apeliacinės instancijos teismas </w:t>
      </w:r>
      <w:bookmarkEnd w:id="15"/>
      <w:r w:rsidR="00E6680E" w:rsidRPr="00943B23">
        <w:rPr>
          <w:rFonts w:eastAsia="Times New Roman" w:cs="Times New Roman"/>
          <w:bCs/>
          <w:iCs/>
          <w:szCs w:val="24"/>
          <w:lang w:eastAsia="lt-LT" w:bidi="lt-LT"/>
        </w:rPr>
        <w:t>skundžiamoje nutartyje nukrypo nuo Lietuvos Aukščiausiojo Teismo suformuotos teisės taikymo ir aiškinimo praktikos, susijusios su taikos sutarties reikšme ir turiniu (CPK 346 straipsnio 2 dalies 2 punktas).</w:t>
      </w:r>
      <w:r w:rsidR="000F3557" w:rsidRPr="00943B23">
        <w:rPr>
          <w:rFonts w:eastAsia="Times New Roman" w:cs="Times New Roman"/>
          <w:bCs/>
          <w:iCs/>
          <w:szCs w:val="24"/>
          <w:lang w:eastAsia="lt-LT" w:bidi="lt-LT"/>
        </w:rPr>
        <w:t xml:space="preserve"> Lietuvos apeliacinis teismas skundžiamoje nutartyje konstatavo aplinkybes, dėl kurių šalys Taikos sutartyje niekada nesitarė. </w:t>
      </w:r>
      <w:r w:rsidR="003156E8">
        <w:rPr>
          <w:rFonts w:eastAsia="Times New Roman" w:cs="Times New Roman"/>
          <w:bCs/>
          <w:iCs/>
          <w:szCs w:val="24"/>
          <w:lang w:eastAsia="lt-LT" w:bidi="lt-LT"/>
        </w:rPr>
        <w:t>Pirmosios ir apeliacinės</w:t>
      </w:r>
      <w:r w:rsidR="000F3557" w:rsidRPr="00943B23">
        <w:rPr>
          <w:rFonts w:eastAsia="Times New Roman" w:cs="Times New Roman"/>
          <w:bCs/>
          <w:iCs/>
          <w:szCs w:val="24"/>
          <w:lang w:eastAsia="lt-LT" w:bidi="lt-LT"/>
        </w:rPr>
        <w:t xml:space="preserve"> instancijos teismai, konstatuodami Taikos sutarčiai prieštaraujantį faktą, jog Taikos sutartis neva patvirtina, jog 201</w:t>
      </w:r>
      <w:r w:rsidR="009D088D">
        <w:rPr>
          <w:rFonts w:eastAsia="Times New Roman" w:cs="Times New Roman"/>
          <w:bCs/>
          <w:iCs/>
          <w:szCs w:val="24"/>
          <w:lang w:eastAsia="lt-LT" w:bidi="lt-LT"/>
        </w:rPr>
        <w:t>7</w:t>
      </w:r>
      <w:r w:rsidR="000F3557" w:rsidRPr="00943B23">
        <w:rPr>
          <w:rFonts w:eastAsia="Times New Roman" w:cs="Times New Roman"/>
          <w:bCs/>
          <w:iCs/>
          <w:szCs w:val="24"/>
          <w:lang w:eastAsia="lt-LT" w:bidi="lt-LT"/>
        </w:rPr>
        <w:t xml:space="preserve"> metais Sutarties galiojimas nepasibaigė ir sudarydama Taikos sutartį atsakovė neva pripažino pareigą mokėti į PSDF biudžetą vėlesniais metais, ne tik nukrypo nuo Lietuvos Aukščiausiojo Teismo praktikos, </w:t>
      </w:r>
      <w:r w:rsidR="000A1DBB">
        <w:rPr>
          <w:rFonts w:eastAsia="Times New Roman" w:cs="Times New Roman"/>
          <w:bCs/>
          <w:iCs/>
          <w:szCs w:val="24"/>
          <w:lang w:eastAsia="lt-LT" w:bidi="lt-LT"/>
        </w:rPr>
        <w:t>bet</w:t>
      </w:r>
      <w:r w:rsidR="000F3557" w:rsidRPr="00943B23">
        <w:rPr>
          <w:rFonts w:eastAsia="Times New Roman" w:cs="Times New Roman"/>
          <w:bCs/>
          <w:iCs/>
          <w:szCs w:val="24"/>
          <w:lang w:eastAsia="lt-LT" w:bidi="lt-LT"/>
        </w:rPr>
        <w:t xml:space="preserve"> ir nepateikė nė vieno argumento.</w:t>
      </w:r>
    </w:p>
    <w:p w14:paraId="20818E60" w14:textId="3AC234E9" w:rsidR="00943B23" w:rsidRPr="00943B23" w:rsidRDefault="00943B23" w:rsidP="00A31A5D">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Po Lietuvos apeliacinio teismo skundžiamos nutarties priėmimo Lietuvos teisinėje sistemoje dabar yra du teismo sprendimai: a)</w:t>
      </w:r>
      <w:r w:rsidR="001C2CED">
        <w:rPr>
          <w:rFonts w:eastAsia="Times New Roman" w:cs="Times New Roman"/>
          <w:bCs/>
          <w:iCs/>
          <w:szCs w:val="24"/>
          <w:lang w:eastAsia="lt-LT" w:bidi="lt-LT"/>
        </w:rPr>
        <w:t xml:space="preserve"> </w:t>
      </w:r>
      <w:r>
        <w:rPr>
          <w:rFonts w:eastAsia="Times New Roman" w:cs="Times New Roman"/>
          <w:bCs/>
          <w:iCs/>
          <w:szCs w:val="24"/>
          <w:lang w:eastAsia="lt-LT" w:bidi="lt-LT"/>
        </w:rPr>
        <w:t>Vilniaus apygardos teismo 2020 m. gruodžio 3 d. nutartis civilinėje byloje Nr. e2-3462-643/2020, kurioje konstatuota, kad visi atsakovės įsipareigojimai pagal Sutartį yra laikomi tinkamai įvykdyt</w:t>
      </w:r>
      <w:r w:rsidR="000A1DBB">
        <w:rPr>
          <w:rFonts w:eastAsia="Times New Roman" w:cs="Times New Roman"/>
          <w:bCs/>
          <w:iCs/>
          <w:szCs w:val="24"/>
          <w:lang w:eastAsia="lt-LT" w:bidi="lt-LT"/>
        </w:rPr>
        <w:t>ais,</w:t>
      </w:r>
      <w:r>
        <w:rPr>
          <w:rFonts w:eastAsia="Times New Roman" w:cs="Times New Roman"/>
          <w:bCs/>
          <w:iCs/>
          <w:szCs w:val="24"/>
          <w:lang w:eastAsia="lt-LT" w:bidi="lt-LT"/>
        </w:rPr>
        <w:t xml:space="preserve"> ir b)</w:t>
      </w:r>
      <w:r w:rsidR="001C2CED">
        <w:rPr>
          <w:rFonts w:eastAsia="Times New Roman" w:cs="Times New Roman"/>
          <w:bCs/>
          <w:iCs/>
          <w:szCs w:val="24"/>
          <w:lang w:eastAsia="lt-LT" w:bidi="lt-LT"/>
        </w:rPr>
        <w:t xml:space="preserve"> </w:t>
      </w:r>
      <w:r>
        <w:rPr>
          <w:rFonts w:eastAsia="Times New Roman" w:cs="Times New Roman"/>
          <w:bCs/>
          <w:iCs/>
          <w:szCs w:val="24"/>
          <w:lang w:eastAsia="lt-LT" w:bidi="lt-LT"/>
        </w:rPr>
        <w:t>skundžiama Lietuvos apeliaci</w:t>
      </w:r>
      <w:r w:rsidR="00C62116">
        <w:rPr>
          <w:rFonts w:eastAsia="Times New Roman" w:cs="Times New Roman"/>
          <w:bCs/>
          <w:iCs/>
          <w:szCs w:val="24"/>
          <w:lang w:eastAsia="lt-LT" w:bidi="lt-LT"/>
        </w:rPr>
        <w:t>nio</w:t>
      </w:r>
      <w:r>
        <w:rPr>
          <w:rFonts w:eastAsia="Times New Roman" w:cs="Times New Roman"/>
          <w:bCs/>
          <w:iCs/>
          <w:szCs w:val="24"/>
          <w:lang w:eastAsia="lt-LT" w:bidi="lt-LT"/>
        </w:rPr>
        <w:t xml:space="preserve"> teismo nutartis, kurioje konstatuota, kad ne visi atsakovės įsipareigojimai pagal Sutartį yra tinkamai įvykdyti, nes neva atsakovė laikė, jo</w:t>
      </w:r>
      <w:r w:rsidR="001A2E00">
        <w:rPr>
          <w:rFonts w:eastAsia="Times New Roman" w:cs="Times New Roman"/>
          <w:bCs/>
          <w:iCs/>
          <w:szCs w:val="24"/>
          <w:lang w:eastAsia="lt-LT" w:bidi="lt-LT"/>
        </w:rPr>
        <w:t>g</w:t>
      </w:r>
      <w:r>
        <w:rPr>
          <w:rFonts w:eastAsia="Times New Roman" w:cs="Times New Roman"/>
          <w:bCs/>
          <w:iCs/>
          <w:szCs w:val="24"/>
          <w:lang w:eastAsia="lt-LT" w:bidi="lt-LT"/>
        </w:rPr>
        <w:t xml:space="preserve"> Sutarties galiojimas nesibaigė 201</w:t>
      </w:r>
      <w:r w:rsidR="00460979">
        <w:rPr>
          <w:rFonts w:eastAsia="Times New Roman" w:cs="Times New Roman"/>
          <w:bCs/>
          <w:iCs/>
          <w:szCs w:val="24"/>
          <w:lang w:eastAsia="lt-LT" w:bidi="lt-LT"/>
        </w:rPr>
        <w:t>7</w:t>
      </w:r>
      <w:r>
        <w:rPr>
          <w:rFonts w:eastAsia="Times New Roman" w:cs="Times New Roman"/>
          <w:bCs/>
          <w:iCs/>
          <w:szCs w:val="24"/>
          <w:lang w:eastAsia="lt-LT" w:bidi="lt-LT"/>
        </w:rPr>
        <w:t xml:space="preserve"> metais</w:t>
      </w:r>
      <w:r w:rsidR="000A1DBB">
        <w:rPr>
          <w:rFonts w:eastAsia="Times New Roman" w:cs="Times New Roman"/>
          <w:bCs/>
          <w:iCs/>
          <w:szCs w:val="24"/>
          <w:lang w:eastAsia="lt-LT" w:bidi="lt-LT"/>
        </w:rPr>
        <w:t>,</w:t>
      </w:r>
      <w:r>
        <w:rPr>
          <w:rFonts w:eastAsia="Times New Roman" w:cs="Times New Roman"/>
          <w:bCs/>
          <w:iCs/>
          <w:szCs w:val="24"/>
          <w:lang w:eastAsia="lt-LT" w:bidi="lt-LT"/>
        </w:rPr>
        <w:t xml:space="preserve"> ir pripažino savo pareigą mokėti išlaidas į biudžetą vėlesniais metais, be kita ko, ir 2020 metais.</w:t>
      </w:r>
    </w:p>
    <w:p w14:paraId="253FCE5F" w14:textId="77777777" w:rsidR="00270637" w:rsidRPr="007F6517" w:rsidRDefault="00FF4037" w:rsidP="00270637">
      <w:pPr>
        <w:numPr>
          <w:ilvl w:val="0"/>
          <w:numId w:val="1"/>
        </w:numPr>
        <w:spacing w:after="120" w:line="240" w:lineRule="auto"/>
        <w:ind w:left="357" w:hanging="357"/>
        <w:jc w:val="both"/>
        <w:rPr>
          <w:rFonts w:eastAsia="Times New Roman" w:cs="Times New Roman"/>
          <w:bCs/>
          <w:szCs w:val="24"/>
          <w:lang w:eastAsia="lt-LT" w:bidi="lt-LT"/>
        </w:rPr>
      </w:pPr>
      <w:r w:rsidRPr="007F6517">
        <w:rPr>
          <w:bCs/>
          <w:szCs w:val="24"/>
        </w:rPr>
        <w:t>Ieškovė</w:t>
      </w:r>
      <w:r w:rsidR="00270637" w:rsidRPr="007F6517">
        <w:rPr>
          <w:bCs/>
          <w:szCs w:val="24"/>
        </w:rPr>
        <w:t xml:space="preserve"> atsiliepimu į </w:t>
      </w:r>
      <w:r w:rsidRPr="007F6517">
        <w:rPr>
          <w:bCs/>
          <w:szCs w:val="24"/>
        </w:rPr>
        <w:t>atsakovės</w:t>
      </w:r>
      <w:r w:rsidR="00270637" w:rsidRPr="007F6517">
        <w:rPr>
          <w:bCs/>
          <w:szCs w:val="24"/>
        </w:rPr>
        <w:t xml:space="preserve"> kasacinį skundą prašo jį atmesti, palikti nepakeistą </w:t>
      </w:r>
      <w:r w:rsidR="007F6517" w:rsidRPr="007F6517">
        <w:rPr>
          <w:bCs/>
          <w:szCs w:val="24"/>
        </w:rPr>
        <w:t>Lietuvos apeliacinio teismo</w:t>
      </w:r>
      <w:r w:rsidR="004A7A30" w:rsidRPr="007F6517">
        <w:rPr>
          <w:bCs/>
          <w:szCs w:val="24"/>
        </w:rPr>
        <w:t xml:space="preserve"> Civilinių bylų skyriaus teisėjų kolegijos 202</w:t>
      </w:r>
      <w:r w:rsidR="007F6517" w:rsidRPr="007F6517">
        <w:rPr>
          <w:bCs/>
          <w:szCs w:val="24"/>
        </w:rPr>
        <w:t>3</w:t>
      </w:r>
      <w:r w:rsidR="004A7A30" w:rsidRPr="007F6517">
        <w:rPr>
          <w:bCs/>
          <w:szCs w:val="24"/>
        </w:rPr>
        <w:t xml:space="preserve"> m. </w:t>
      </w:r>
      <w:r w:rsidR="007F6517" w:rsidRPr="007F6517">
        <w:rPr>
          <w:bCs/>
          <w:szCs w:val="24"/>
        </w:rPr>
        <w:t>vasario7</w:t>
      </w:r>
      <w:r w:rsidR="004A7A30" w:rsidRPr="007F6517">
        <w:rPr>
          <w:bCs/>
          <w:szCs w:val="24"/>
        </w:rPr>
        <w:t xml:space="preserve"> d. nutart</w:t>
      </w:r>
      <w:r w:rsidR="00270637" w:rsidRPr="007F6517">
        <w:rPr>
          <w:rFonts w:eastAsia="Times New Roman" w:cs="Times New Roman"/>
          <w:bCs/>
          <w:szCs w:val="24"/>
          <w:lang w:eastAsia="lt-LT" w:bidi="lt-LT"/>
        </w:rPr>
        <w:t>į. Atsiliepimas į kasacinį skundą grindžiamas šiais argumentais:</w:t>
      </w:r>
    </w:p>
    <w:p w14:paraId="1BDCCFA8" w14:textId="4F2071BA" w:rsidR="006E2282" w:rsidRDefault="006E2282" w:rsidP="00DC45F3">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 xml:space="preserve">Pagal </w:t>
      </w:r>
      <w:r w:rsidR="00447734">
        <w:rPr>
          <w:rFonts w:eastAsia="Times New Roman" w:cs="Times New Roman"/>
          <w:szCs w:val="24"/>
          <w:lang w:eastAsia="lt-LT"/>
        </w:rPr>
        <w:t>S</w:t>
      </w:r>
      <w:r>
        <w:rPr>
          <w:rFonts w:eastAsia="Times New Roman" w:cs="Times New Roman"/>
          <w:szCs w:val="24"/>
          <w:lang w:eastAsia="lt-LT"/>
        </w:rPr>
        <w:t>veikatos draudimo įstatymo 30 straipsnio 9 punktą</w:t>
      </w:r>
      <w:r w:rsidR="00447734">
        <w:rPr>
          <w:rFonts w:eastAsia="Times New Roman" w:cs="Times New Roman"/>
          <w:szCs w:val="24"/>
          <w:lang w:eastAsia="lt-LT"/>
        </w:rPr>
        <w:t>,</w:t>
      </w:r>
      <w:r>
        <w:rPr>
          <w:rFonts w:eastAsia="Times New Roman" w:cs="Times New Roman"/>
          <w:szCs w:val="24"/>
          <w:lang w:eastAsia="lt-LT"/>
        </w:rPr>
        <w:t xml:space="preserve"> gydymo prieinamumo gerinimo ir rizikos pasidalijimo sutarčių sudarymas su vaistinio preparato rinkodaros teisės turėtojais (jų atstovais) arba juridiniais asmenimis, turinčiais didmeninio platinimo licenciją, yra viena iš VLK funkcijų, o šios vaistų gamintojų grąžinamos lėšos yra viena iš PSDF biudžeto gaunamų pajamų rūšių pagal Sveikatos draudimo įstatymo 15</w:t>
      </w:r>
      <w:r w:rsidR="00E231CD">
        <w:rPr>
          <w:rFonts w:eastAsia="Times New Roman" w:cs="Times New Roman"/>
          <w:szCs w:val="24"/>
          <w:lang w:eastAsia="lt-LT"/>
        </w:rPr>
        <w:t> </w:t>
      </w:r>
      <w:r>
        <w:rPr>
          <w:rFonts w:eastAsia="Times New Roman" w:cs="Times New Roman"/>
          <w:szCs w:val="24"/>
          <w:lang w:eastAsia="lt-LT"/>
        </w:rPr>
        <w:t>straipsnio 1 dalies 7 punktą. Gydymo prieinamumo gerinimo ir rizikos pasidalijimo sutartis yra priemonė PSDF biudžeto lėš</w:t>
      </w:r>
      <w:r w:rsidR="00447734">
        <w:rPr>
          <w:rFonts w:eastAsia="Times New Roman" w:cs="Times New Roman"/>
          <w:szCs w:val="24"/>
          <w:lang w:eastAsia="lt-LT"/>
        </w:rPr>
        <w:t>om</w:t>
      </w:r>
      <w:r>
        <w:rPr>
          <w:rFonts w:eastAsia="Times New Roman" w:cs="Times New Roman"/>
          <w:szCs w:val="24"/>
          <w:lang w:eastAsia="lt-LT"/>
        </w:rPr>
        <w:t>s</w:t>
      </w:r>
      <w:r w:rsidR="00447734" w:rsidRPr="00447734">
        <w:rPr>
          <w:rFonts w:eastAsia="Times New Roman" w:cs="Times New Roman"/>
          <w:szCs w:val="24"/>
          <w:lang w:eastAsia="lt-LT"/>
        </w:rPr>
        <w:t xml:space="preserve"> </w:t>
      </w:r>
      <w:r w:rsidR="00447734">
        <w:rPr>
          <w:rFonts w:eastAsia="Times New Roman" w:cs="Times New Roman"/>
          <w:szCs w:val="24"/>
          <w:lang w:eastAsia="lt-LT"/>
        </w:rPr>
        <w:t>valdyti</w:t>
      </w:r>
      <w:r>
        <w:rPr>
          <w:rFonts w:eastAsia="Times New Roman" w:cs="Times New Roman"/>
          <w:szCs w:val="24"/>
          <w:lang w:eastAsia="lt-LT"/>
        </w:rPr>
        <w:t>.</w:t>
      </w:r>
    </w:p>
    <w:p w14:paraId="01171BE7" w14:textId="7935B1AC" w:rsidR="008C6184" w:rsidRDefault="008C6184" w:rsidP="00DC45F3">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lastRenderedPageBreak/>
        <w:t xml:space="preserve">VLK turi 169 sutartis su 37 vaistų gamintojais dėl 119 skirtingų bendrinių pavadinimų vaistų dėl gydymo prieinamumo gerinimo ir rizikos pasidalijimo ir tik su atsakove jau keletą metų vyksta teisminiai ginčai dėl vienos sutarties sudarymo ir vykdymo, nes atsakovė nesutiko pasirašyti išlaidų valdymo sutarties pakeitimo dėl vaisto </w:t>
      </w:r>
      <w:r w:rsidR="00E231CD">
        <w:rPr>
          <w:rFonts w:eastAsia="Times New Roman" w:cs="Times New Roman"/>
          <w:szCs w:val="24"/>
          <w:lang w:eastAsia="lt-LT"/>
        </w:rPr>
        <w:t>„</w:t>
      </w:r>
      <w:proofErr w:type="spellStart"/>
      <w:r>
        <w:rPr>
          <w:rFonts w:eastAsia="Times New Roman" w:cs="Times New Roman"/>
          <w:szCs w:val="24"/>
          <w:lang w:eastAsia="lt-LT"/>
        </w:rPr>
        <w:t>Ranexa</w:t>
      </w:r>
      <w:proofErr w:type="spellEnd"/>
      <w:r w:rsidR="00E231CD">
        <w:rPr>
          <w:rFonts w:eastAsia="Times New Roman" w:cs="Times New Roman"/>
          <w:szCs w:val="24"/>
          <w:lang w:eastAsia="lt-LT"/>
        </w:rPr>
        <w:t>“</w:t>
      </w:r>
      <w:r>
        <w:rPr>
          <w:rFonts w:eastAsia="Times New Roman" w:cs="Times New Roman"/>
          <w:szCs w:val="24"/>
          <w:lang w:eastAsia="lt-LT"/>
        </w:rPr>
        <w:t xml:space="preserve">. Tačiau </w:t>
      </w:r>
      <w:r w:rsidR="001A2E00">
        <w:rPr>
          <w:rFonts w:eastAsia="Times New Roman" w:cs="Times New Roman"/>
          <w:szCs w:val="24"/>
          <w:lang w:eastAsia="lt-LT"/>
        </w:rPr>
        <w:t xml:space="preserve">atsakovė </w:t>
      </w:r>
      <w:r>
        <w:rPr>
          <w:rFonts w:eastAsia="Times New Roman" w:cs="Times New Roman"/>
          <w:szCs w:val="24"/>
          <w:lang w:eastAsia="lt-LT"/>
        </w:rPr>
        <w:t xml:space="preserve">turi pasirašytas kitas tris sutartis dėl kitų vaistų, </w:t>
      </w:r>
      <w:r w:rsidR="001A2E00">
        <w:rPr>
          <w:rFonts w:eastAsia="Times New Roman" w:cs="Times New Roman"/>
          <w:szCs w:val="24"/>
          <w:lang w:eastAsia="lt-LT"/>
        </w:rPr>
        <w:t>š</w:t>
      </w:r>
      <w:r>
        <w:rPr>
          <w:rFonts w:eastAsia="Times New Roman" w:cs="Times New Roman"/>
          <w:szCs w:val="24"/>
          <w:lang w:eastAsia="lt-LT"/>
        </w:rPr>
        <w:t>ių</w:t>
      </w:r>
      <w:r w:rsidR="001A2E00">
        <w:rPr>
          <w:rFonts w:eastAsia="Times New Roman" w:cs="Times New Roman"/>
          <w:szCs w:val="24"/>
          <w:lang w:eastAsia="lt-LT"/>
        </w:rPr>
        <w:t xml:space="preserve"> sutarčių</w:t>
      </w:r>
      <w:r>
        <w:rPr>
          <w:rFonts w:eastAsia="Times New Roman" w:cs="Times New Roman"/>
          <w:szCs w:val="24"/>
          <w:lang w:eastAsia="lt-LT"/>
        </w:rPr>
        <w:t xml:space="preserve"> pratęsimus pasirašė ir 2023</w:t>
      </w:r>
      <w:r w:rsidR="001A2E00">
        <w:rPr>
          <w:rFonts w:eastAsia="Times New Roman" w:cs="Times New Roman"/>
          <w:szCs w:val="24"/>
          <w:lang w:eastAsia="lt-LT"/>
        </w:rPr>
        <w:t> </w:t>
      </w:r>
      <w:r>
        <w:rPr>
          <w:rFonts w:eastAsia="Times New Roman" w:cs="Times New Roman"/>
          <w:szCs w:val="24"/>
          <w:lang w:eastAsia="lt-LT"/>
        </w:rPr>
        <w:t xml:space="preserve">metais, </w:t>
      </w:r>
      <w:r w:rsidR="00447734">
        <w:rPr>
          <w:rFonts w:eastAsia="Times New Roman" w:cs="Times New Roman"/>
          <w:szCs w:val="24"/>
          <w:lang w:eastAsia="lt-LT"/>
        </w:rPr>
        <w:t>o tai</w:t>
      </w:r>
      <w:r>
        <w:rPr>
          <w:rFonts w:eastAsia="Times New Roman" w:cs="Times New Roman"/>
          <w:szCs w:val="24"/>
          <w:lang w:eastAsia="lt-LT"/>
        </w:rPr>
        <w:t xml:space="preserve"> parodo, jog </w:t>
      </w:r>
      <w:r w:rsidR="001A2E00">
        <w:rPr>
          <w:rFonts w:eastAsia="Times New Roman" w:cs="Times New Roman"/>
          <w:szCs w:val="24"/>
          <w:lang w:eastAsia="lt-LT"/>
        </w:rPr>
        <w:t>ja</w:t>
      </w:r>
      <w:r>
        <w:rPr>
          <w:rFonts w:eastAsia="Times New Roman" w:cs="Times New Roman"/>
          <w:szCs w:val="24"/>
          <w:lang w:eastAsia="lt-LT"/>
        </w:rPr>
        <w:t xml:space="preserve">i puikiai žinoma sąlyga, kad sutartys galioja iki </w:t>
      </w:r>
      <w:proofErr w:type="spellStart"/>
      <w:r>
        <w:rPr>
          <w:rFonts w:eastAsia="Times New Roman" w:cs="Times New Roman"/>
          <w:szCs w:val="24"/>
          <w:lang w:eastAsia="lt-LT"/>
        </w:rPr>
        <w:t>generinio</w:t>
      </w:r>
      <w:proofErr w:type="spellEnd"/>
      <w:r>
        <w:rPr>
          <w:rFonts w:eastAsia="Times New Roman" w:cs="Times New Roman"/>
          <w:szCs w:val="24"/>
          <w:lang w:eastAsia="lt-LT"/>
        </w:rPr>
        <w:t xml:space="preserve"> vaisto atsiradimo rinkoje. Šios aplinkybės atsakovei nepavyko paneigti teismuose.</w:t>
      </w:r>
    </w:p>
    <w:p w14:paraId="6E962569" w14:textId="09349A5E" w:rsidR="008C6184" w:rsidRPr="008C6184" w:rsidRDefault="008C6184" w:rsidP="00A31A5D">
      <w:pPr>
        <w:numPr>
          <w:ilvl w:val="1"/>
          <w:numId w:val="1"/>
        </w:numPr>
        <w:spacing w:after="120" w:line="240" w:lineRule="auto"/>
        <w:ind w:left="851" w:hanging="494"/>
        <w:jc w:val="both"/>
        <w:rPr>
          <w:rFonts w:eastAsia="Times New Roman" w:cs="Times New Roman"/>
          <w:szCs w:val="24"/>
          <w:lang w:eastAsia="lt-LT"/>
        </w:rPr>
      </w:pPr>
      <w:r>
        <w:rPr>
          <w:rFonts w:eastAsia="Times New Roman" w:cs="Times New Roman"/>
          <w:szCs w:val="24"/>
          <w:lang w:eastAsia="lt-LT"/>
        </w:rPr>
        <w:t xml:space="preserve">Vaistas </w:t>
      </w:r>
      <w:r w:rsidR="00E231CD">
        <w:rPr>
          <w:rFonts w:eastAsia="Times New Roman" w:cs="Times New Roman"/>
          <w:szCs w:val="24"/>
          <w:lang w:eastAsia="lt-LT"/>
        </w:rPr>
        <w:t>„</w:t>
      </w:r>
      <w:proofErr w:type="spellStart"/>
      <w:r>
        <w:rPr>
          <w:rFonts w:eastAsia="Times New Roman" w:cs="Times New Roman"/>
          <w:szCs w:val="24"/>
          <w:lang w:eastAsia="lt-LT"/>
        </w:rPr>
        <w:t>Ranexa</w:t>
      </w:r>
      <w:proofErr w:type="spellEnd"/>
      <w:r w:rsidR="00E231CD">
        <w:rPr>
          <w:rFonts w:eastAsia="Times New Roman" w:cs="Times New Roman"/>
          <w:szCs w:val="24"/>
          <w:lang w:eastAsia="lt-LT"/>
        </w:rPr>
        <w:t>“</w:t>
      </w:r>
      <w:r>
        <w:rPr>
          <w:rFonts w:eastAsia="Times New Roman" w:cs="Times New Roman"/>
          <w:szCs w:val="24"/>
          <w:lang w:eastAsia="lt-LT"/>
        </w:rPr>
        <w:t xml:space="preserve"> į kompens</w:t>
      </w:r>
      <w:r w:rsidR="00447734">
        <w:rPr>
          <w:rFonts w:eastAsia="Times New Roman" w:cs="Times New Roman"/>
          <w:szCs w:val="24"/>
          <w:lang w:eastAsia="lt-LT"/>
        </w:rPr>
        <w:t>uojamųjų vaistų sąrašą</w:t>
      </w:r>
      <w:r>
        <w:rPr>
          <w:rFonts w:eastAsia="Times New Roman" w:cs="Times New Roman"/>
          <w:szCs w:val="24"/>
          <w:lang w:eastAsia="lt-LT"/>
        </w:rPr>
        <w:t xml:space="preserve"> 2015 metais buvo įtrauktas tik su sąlyga, kad dėl </w:t>
      </w:r>
      <w:r w:rsidR="00447734">
        <w:rPr>
          <w:rFonts w:eastAsia="Times New Roman" w:cs="Times New Roman"/>
          <w:szCs w:val="24"/>
          <w:lang w:eastAsia="lt-LT"/>
        </w:rPr>
        <w:t xml:space="preserve">šio </w:t>
      </w:r>
      <w:r>
        <w:rPr>
          <w:rFonts w:eastAsia="Times New Roman" w:cs="Times New Roman"/>
          <w:szCs w:val="24"/>
          <w:lang w:eastAsia="lt-LT"/>
        </w:rPr>
        <w:t xml:space="preserve">vaisto bus pasirašoma </w:t>
      </w:r>
      <w:r w:rsidR="006E2282">
        <w:rPr>
          <w:rFonts w:eastAsia="Times New Roman" w:cs="Times New Roman"/>
          <w:szCs w:val="24"/>
          <w:lang w:eastAsia="lt-LT"/>
        </w:rPr>
        <w:t xml:space="preserve">gydymo prieinamumo gerinimo ir rizikos pasidalijimo </w:t>
      </w:r>
      <w:r>
        <w:rPr>
          <w:rFonts w:eastAsia="Times New Roman" w:cs="Times New Roman"/>
          <w:szCs w:val="24"/>
          <w:lang w:eastAsia="lt-LT"/>
        </w:rPr>
        <w:t>sutartis</w:t>
      </w:r>
      <w:r w:rsidR="001A2E00">
        <w:rPr>
          <w:rFonts w:eastAsia="Times New Roman" w:cs="Times New Roman"/>
          <w:szCs w:val="24"/>
          <w:lang w:eastAsia="lt-LT"/>
        </w:rPr>
        <w:t>,</w:t>
      </w:r>
      <w:r>
        <w:rPr>
          <w:rFonts w:eastAsia="Times New Roman" w:cs="Times New Roman"/>
          <w:szCs w:val="24"/>
          <w:lang w:eastAsia="lt-LT"/>
        </w:rPr>
        <w:t xml:space="preserve"> ir </w:t>
      </w:r>
      <w:r w:rsidR="00CD4D4A">
        <w:rPr>
          <w:rFonts w:eastAsia="Times New Roman" w:cs="Times New Roman"/>
          <w:szCs w:val="24"/>
          <w:lang w:eastAsia="lt-LT"/>
        </w:rPr>
        <w:t>S</w:t>
      </w:r>
      <w:r>
        <w:rPr>
          <w:rFonts w:eastAsia="Times New Roman" w:cs="Times New Roman"/>
          <w:szCs w:val="24"/>
          <w:lang w:eastAsia="lt-LT"/>
        </w:rPr>
        <w:t xml:space="preserve">utartyje buvo nustatyta, kad </w:t>
      </w:r>
      <w:r w:rsidR="00447734">
        <w:rPr>
          <w:rFonts w:eastAsia="Times New Roman" w:cs="Times New Roman"/>
          <w:szCs w:val="24"/>
          <w:lang w:eastAsia="lt-LT"/>
        </w:rPr>
        <w:t>ji</w:t>
      </w:r>
      <w:r>
        <w:rPr>
          <w:rFonts w:eastAsia="Times New Roman" w:cs="Times New Roman"/>
          <w:szCs w:val="24"/>
          <w:lang w:eastAsia="lt-LT"/>
        </w:rPr>
        <w:t xml:space="preserve"> galioja, kol kompens</w:t>
      </w:r>
      <w:r w:rsidR="00447734">
        <w:rPr>
          <w:rFonts w:eastAsia="Times New Roman" w:cs="Times New Roman"/>
          <w:szCs w:val="24"/>
          <w:lang w:eastAsia="lt-LT"/>
        </w:rPr>
        <w:t>uojamųjų vaistų sąraše</w:t>
      </w:r>
      <w:r>
        <w:rPr>
          <w:rFonts w:eastAsia="Times New Roman" w:cs="Times New Roman"/>
          <w:szCs w:val="24"/>
          <w:lang w:eastAsia="lt-LT"/>
        </w:rPr>
        <w:t xml:space="preserve"> atsiranda </w:t>
      </w:r>
      <w:proofErr w:type="spellStart"/>
      <w:r>
        <w:rPr>
          <w:rFonts w:eastAsia="Times New Roman" w:cs="Times New Roman"/>
          <w:szCs w:val="24"/>
          <w:lang w:eastAsia="lt-LT"/>
        </w:rPr>
        <w:t>gener</w:t>
      </w:r>
      <w:r w:rsidR="00E231CD">
        <w:rPr>
          <w:rFonts w:eastAsia="Times New Roman" w:cs="Times New Roman"/>
          <w:szCs w:val="24"/>
          <w:lang w:eastAsia="lt-LT"/>
        </w:rPr>
        <w:t>i</w:t>
      </w:r>
      <w:r>
        <w:rPr>
          <w:rFonts w:eastAsia="Times New Roman" w:cs="Times New Roman"/>
          <w:szCs w:val="24"/>
          <w:lang w:eastAsia="lt-LT"/>
        </w:rPr>
        <w:t>nis</w:t>
      </w:r>
      <w:proofErr w:type="spellEnd"/>
      <w:r>
        <w:rPr>
          <w:rFonts w:eastAsia="Times New Roman" w:cs="Times New Roman"/>
          <w:szCs w:val="24"/>
          <w:lang w:eastAsia="lt-LT"/>
        </w:rPr>
        <w:t xml:space="preserve"> vaistinis preparatas.</w:t>
      </w:r>
      <w:r w:rsidR="00CD4D4A">
        <w:rPr>
          <w:rFonts w:eastAsia="Times New Roman" w:cs="Times New Roman"/>
          <w:szCs w:val="24"/>
          <w:lang w:eastAsia="lt-LT"/>
        </w:rPr>
        <w:t xml:space="preserve"> Jei dėl vaisto </w:t>
      </w:r>
      <w:r w:rsidR="00E231CD">
        <w:rPr>
          <w:rFonts w:eastAsia="Times New Roman" w:cs="Times New Roman"/>
          <w:szCs w:val="24"/>
          <w:lang w:eastAsia="lt-LT"/>
        </w:rPr>
        <w:t>„</w:t>
      </w:r>
      <w:proofErr w:type="spellStart"/>
      <w:r w:rsidR="00CD4D4A">
        <w:rPr>
          <w:rFonts w:eastAsia="Times New Roman" w:cs="Times New Roman"/>
          <w:szCs w:val="24"/>
          <w:lang w:eastAsia="lt-LT"/>
        </w:rPr>
        <w:t>Ranexa</w:t>
      </w:r>
      <w:proofErr w:type="spellEnd"/>
      <w:r w:rsidR="00E231CD">
        <w:rPr>
          <w:rFonts w:eastAsia="Times New Roman" w:cs="Times New Roman"/>
          <w:szCs w:val="24"/>
          <w:lang w:eastAsia="lt-LT"/>
        </w:rPr>
        <w:t>“</w:t>
      </w:r>
      <w:r w:rsidR="00CD4D4A">
        <w:rPr>
          <w:rFonts w:eastAsia="Times New Roman" w:cs="Times New Roman"/>
          <w:szCs w:val="24"/>
          <w:lang w:eastAsia="lt-LT"/>
        </w:rPr>
        <w:t xml:space="preserve"> nebūtų buvusi sudaryta Sutartis, šis vaistas nebūtų </w:t>
      </w:r>
      <w:r w:rsidR="00447734">
        <w:rPr>
          <w:rFonts w:eastAsia="Times New Roman" w:cs="Times New Roman"/>
          <w:szCs w:val="24"/>
          <w:lang w:eastAsia="lt-LT"/>
        </w:rPr>
        <w:t xml:space="preserve">buvęs </w:t>
      </w:r>
      <w:r w:rsidR="00CD4D4A">
        <w:rPr>
          <w:rFonts w:eastAsia="Times New Roman" w:cs="Times New Roman"/>
          <w:szCs w:val="24"/>
          <w:lang w:eastAsia="lt-LT"/>
        </w:rPr>
        <w:t>įtrauktas į kompensuojamųjų vaistų sąrašą ir nebūtų kompensuojamas apdraustiems privalomuoju sveikatos draudimu asmenims.</w:t>
      </w:r>
    </w:p>
    <w:p w14:paraId="11262BB4" w14:textId="19BB55F7" w:rsidR="00DC45F3" w:rsidRPr="000E2901" w:rsidRDefault="00A6503C" w:rsidP="00A31A5D">
      <w:pPr>
        <w:numPr>
          <w:ilvl w:val="1"/>
          <w:numId w:val="1"/>
        </w:numPr>
        <w:spacing w:after="120" w:line="240" w:lineRule="auto"/>
        <w:ind w:left="851" w:hanging="494"/>
        <w:jc w:val="both"/>
        <w:rPr>
          <w:rFonts w:eastAsia="Times New Roman" w:cs="Times New Roman"/>
          <w:szCs w:val="24"/>
          <w:lang w:eastAsia="lt-LT"/>
        </w:rPr>
      </w:pPr>
      <w:r>
        <w:rPr>
          <w:rFonts w:eastAsia="Times New Roman" w:cs="Times New Roman"/>
          <w:bCs/>
          <w:iCs/>
          <w:szCs w:val="24"/>
          <w:lang w:eastAsia="lt-LT" w:bidi="lt-LT"/>
        </w:rPr>
        <w:t>T</w:t>
      </w:r>
      <w:r w:rsidR="003B0EEE">
        <w:rPr>
          <w:rFonts w:eastAsia="Times New Roman" w:cs="Times New Roman"/>
          <w:bCs/>
          <w:iCs/>
          <w:szCs w:val="24"/>
          <w:lang w:eastAsia="lt-LT" w:bidi="lt-LT"/>
        </w:rPr>
        <w:t>aikos sutartimi, priešingai nei teigia atsakovė, nebuvo su</w:t>
      </w:r>
      <w:r w:rsidR="001A2E00">
        <w:rPr>
          <w:rFonts w:eastAsia="Times New Roman" w:cs="Times New Roman"/>
          <w:bCs/>
          <w:iCs/>
          <w:szCs w:val="24"/>
          <w:lang w:eastAsia="lt-LT" w:bidi="lt-LT"/>
        </w:rPr>
        <w:t>lyg</w:t>
      </w:r>
      <w:r w:rsidR="003B0EEE">
        <w:rPr>
          <w:rFonts w:eastAsia="Times New Roman" w:cs="Times New Roman"/>
          <w:bCs/>
          <w:iCs/>
          <w:szCs w:val="24"/>
          <w:lang w:eastAsia="lt-LT" w:bidi="lt-LT"/>
        </w:rPr>
        <w:t xml:space="preserve">ta, kad </w:t>
      </w:r>
      <w:r w:rsidR="00C62116">
        <w:rPr>
          <w:rFonts w:eastAsia="Times New Roman" w:cs="Times New Roman"/>
          <w:bCs/>
          <w:iCs/>
          <w:szCs w:val="24"/>
          <w:lang w:eastAsia="lt-LT" w:bidi="lt-LT"/>
        </w:rPr>
        <w:t>S</w:t>
      </w:r>
      <w:r w:rsidR="003B0EEE">
        <w:rPr>
          <w:rFonts w:eastAsia="Times New Roman" w:cs="Times New Roman"/>
          <w:bCs/>
          <w:iCs/>
          <w:szCs w:val="24"/>
          <w:lang w:eastAsia="lt-LT" w:bidi="lt-LT"/>
        </w:rPr>
        <w:t>utartis nebegalioja. Toks susitarimas būtų prieštaravęs imperatyvioms teisės normoms ir Vilniaus apygardos teismas tokio susitarimo nebūtų patvirtinęs. Šalys susitarė, kad išsprendė ginčą dėl 2018</w:t>
      </w:r>
      <w:r w:rsidR="00E231CD">
        <w:rPr>
          <w:rFonts w:eastAsia="Times New Roman" w:cs="Times New Roman"/>
          <w:bCs/>
          <w:iCs/>
          <w:szCs w:val="24"/>
          <w:lang w:eastAsia="lt-LT" w:bidi="lt-LT"/>
        </w:rPr>
        <w:t>–</w:t>
      </w:r>
      <w:r w:rsidR="003B0EEE">
        <w:rPr>
          <w:rFonts w:eastAsia="Times New Roman" w:cs="Times New Roman"/>
          <w:bCs/>
          <w:iCs/>
          <w:szCs w:val="24"/>
          <w:lang w:eastAsia="lt-LT" w:bidi="lt-LT"/>
        </w:rPr>
        <w:t>2019 metų, bet nebuvo susitarta, kad Taikos sutartis taikoma visiems įmanomiems ginčams ateityje.</w:t>
      </w:r>
    </w:p>
    <w:p w14:paraId="00674F78" w14:textId="42DDB2CE" w:rsidR="00DC45F3" w:rsidRPr="00CC5E9C" w:rsidRDefault="003B0EEE" w:rsidP="00A31A5D">
      <w:pPr>
        <w:numPr>
          <w:ilvl w:val="1"/>
          <w:numId w:val="1"/>
        </w:numPr>
        <w:spacing w:after="120" w:line="240" w:lineRule="auto"/>
        <w:ind w:left="851" w:hanging="494"/>
        <w:jc w:val="both"/>
        <w:rPr>
          <w:rFonts w:eastAsia="Times New Roman" w:cs="Times New Roman"/>
          <w:szCs w:val="24"/>
          <w:lang w:eastAsia="lt-LT"/>
        </w:rPr>
      </w:pPr>
      <w:r>
        <w:rPr>
          <w:rFonts w:eastAsia="Times New Roman" w:cs="Times New Roman"/>
          <w:szCs w:val="24"/>
          <w:lang w:eastAsia="lt-LT"/>
        </w:rPr>
        <w:t xml:space="preserve">Apeliacinės instancijos teismo nutartyje yra išdėstyti pakankami motyvai, susiję su civilinės bylos išsprendimo pagrįstumu. </w:t>
      </w:r>
      <w:r w:rsidR="004105F5">
        <w:rPr>
          <w:rFonts w:eastAsia="Times New Roman" w:cs="Times New Roman"/>
          <w:szCs w:val="24"/>
          <w:lang w:eastAsia="lt-LT"/>
        </w:rPr>
        <w:t>Skundžiamos</w:t>
      </w:r>
      <w:r w:rsidR="00CC5E9C">
        <w:rPr>
          <w:rFonts w:eastAsia="Times New Roman" w:cs="Times New Roman"/>
          <w:szCs w:val="24"/>
          <w:lang w:eastAsia="lt-LT"/>
        </w:rPr>
        <w:t xml:space="preserve"> nutarties motyvuojamojoje dalyje atsakyta į pagrindinius (esminius) bylos faktinius ir teisinius aspektus, nurodytus atsakovės apeliaciniame skunde, nutartyje yra byloje pateiktais ir ištirtais įrodymais paremtos teismo išvados. VLK nuomone, atsakovė kasaciniame skunde neįrodo, kokias materialiosios ar proces</w:t>
      </w:r>
      <w:r w:rsidR="0031780C">
        <w:rPr>
          <w:rFonts w:eastAsia="Times New Roman" w:cs="Times New Roman"/>
          <w:szCs w:val="24"/>
          <w:lang w:eastAsia="lt-LT"/>
        </w:rPr>
        <w:t>o</w:t>
      </w:r>
      <w:r w:rsidR="00CC5E9C">
        <w:rPr>
          <w:rFonts w:eastAsia="Times New Roman" w:cs="Times New Roman"/>
          <w:szCs w:val="24"/>
          <w:lang w:eastAsia="lt-LT"/>
        </w:rPr>
        <w:t xml:space="preserve"> teisės normas Lietuvos apeliacinis teismas pažeidė, kad jo nutartį būtų galima panaikinti ir perduoti bylą nagrinėti iš naujo.</w:t>
      </w:r>
    </w:p>
    <w:p w14:paraId="16604F1E" w14:textId="77777777" w:rsidR="00270637" w:rsidRDefault="00270637" w:rsidP="00DC45F3">
      <w:pPr>
        <w:spacing w:after="120" w:line="240" w:lineRule="auto"/>
        <w:jc w:val="both"/>
        <w:rPr>
          <w:rFonts w:eastAsia="Times New Roman" w:cs="Times New Roman"/>
          <w:szCs w:val="24"/>
          <w:lang w:eastAsia="lt-LT"/>
        </w:rPr>
      </w:pPr>
    </w:p>
    <w:p w14:paraId="07C7DEF0" w14:textId="77777777" w:rsidR="00AC00DC" w:rsidRPr="0013069A" w:rsidRDefault="00AC00DC" w:rsidP="00AC00DC">
      <w:pPr>
        <w:shd w:val="clear" w:color="auto" w:fill="FFFFFF"/>
        <w:spacing w:after="120" w:line="240" w:lineRule="auto"/>
        <w:ind w:right="19" w:firstLine="709"/>
        <w:jc w:val="both"/>
        <w:rPr>
          <w:rFonts w:eastAsia="Times New Roman" w:cs="Times New Roman"/>
          <w:szCs w:val="24"/>
          <w:lang w:eastAsia="lt-LT"/>
        </w:rPr>
      </w:pPr>
      <w:r w:rsidRPr="0013069A">
        <w:rPr>
          <w:rFonts w:eastAsia="Times New Roman" w:cs="Times New Roman"/>
          <w:szCs w:val="24"/>
          <w:lang w:eastAsia="lt-LT"/>
        </w:rPr>
        <w:t xml:space="preserve">Teisėjų kolegija </w:t>
      </w:r>
    </w:p>
    <w:p w14:paraId="19C03F0A" w14:textId="77777777" w:rsidR="00AC00DC" w:rsidRPr="0013069A" w:rsidRDefault="00AC00DC" w:rsidP="00903B95">
      <w:pPr>
        <w:shd w:val="clear" w:color="auto" w:fill="FFFFFF"/>
        <w:spacing w:after="120" w:line="240" w:lineRule="auto"/>
        <w:ind w:right="17" w:firstLine="720"/>
        <w:jc w:val="both"/>
        <w:rPr>
          <w:rFonts w:eastAsia="Times New Roman" w:cs="Times New Roman"/>
          <w:szCs w:val="24"/>
          <w:lang w:eastAsia="lt-LT"/>
        </w:rPr>
      </w:pPr>
    </w:p>
    <w:p w14:paraId="7F3F21DA" w14:textId="77777777" w:rsidR="00AC00DC" w:rsidRPr="0013069A" w:rsidRDefault="00AC00DC" w:rsidP="00AC00DC">
      <w:pPr>
        <w:spacing w:after="12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 xml:space="preserve">k o n s t a t u o j a : </w:t>
      </w:r>
    </w:p>
    <w:p w14:paraId="34029593" w14:textId="77777777" w:rsidR="00AC00DC" w:rsidRPr="0013069A" w:rsidRDefault="00AC00DC" w:rsidP="00903B95">
      <w:pPr>
        <w:spacing w:after="120" w:line="240" w:lineRule="auto"/>
        <w:ind w:firstLine="720"/>
        <w:jc w:val="both"/>
        <w:rPr>
          <w:rFonts w:eastAsia="Times New Roman" w:cs="Times New Roman"/>
          <w:szCs w:val="24"/>
          <w:lang w:eastAsia="lt-LT"/>
        </w:rPr>
      </w:pPr>
    </w:p>
    <w:p w14:paraId="6230EB50"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IV. Kasacinio teismo argumentai ir išaiškinimai</w:t>
      </w:r>
    </w:p>
    <w:p w14:paraId="09C03DC6" w14:textId="77777777" w:rsidR="004C5126" w:rsidRDefault="004C5126" w:rsidP="00EB128F">
      <w:pPr>
        <w:spacing w:after="120" w:line="240" w:lineRule="auto"/>
        <w:jc w:val="both"/>
        <w:rPr>
          <w:rFonts w:eastAsia="Times New Roman" w:cs="Times New Roman"/>
          <w:i/>
          <w:iCs/>
          <w:szCs w:val="24"/>
          <w:lang w:eastAsia="lt-LT"/>
        </w:rPr>
      </w:pPr>
    </w:p>
    <w:p w14:paraId="12F666F4" w14:textId="3F549556" w:rsidR="002B4670" w:rsidRDefault="002B4670" w:rsidP="002B4670">
      <w:pPr>
        <w:spacing w:after="120" w:line="240" w:lineRule="auto"/>
        <w:ind w:firstLine="709"/>
        <w:jc w:val="both"/>
        <w:rPr>
          <w:rFonts w:eastAsia="Times New Roman" w:cs="Times New Roman"/>
          <w:i/>
          <w:iCs/>
          <w:szCs w:val="24"/>
          <w:lang w:eastAsia="lt-LT"/>
        </w:rPr>
      </w:pPr>
      <w:r w:rsidRPr="002B4670">
        <w:rPr>
          <w:rFonts w:eastAsia="Times New Roman" w:cs="Times New Roman"/>
          <w:i/>
          <w:iCs/>
          <w:szCs w:val="24"/>
          <w:lang w:eastAsia="lt-LT"/>
        </w:rPr>
        <w:t>Dėl bylos nagrinėjimo kasacine tvarka ribų</w:t>
      </w:r>
    </w:p>
    <w:p w14:paraId="0E59E9A8" w14:textId="77777777" w:rsidR="002B4670" w:rsidRDefault="002B4670" w:rsidP="002B4670">
      <w:pPr>
        <w:spacing w:after="120" w:line="240" w:lineRule="auto"/>
        <w:jc w:val="both"/>
        <w:rPr>
          <w:rFonts w:eastAsia="Times New Roman" w:cs="Times New Roman"/>
          <w:iCs/>
          <w:szCs w:val="24"/>
          <w:lang w:eastAsia="lt-LT"/>
        </w:rPr>
      </w:pPr>
    </w:p>
    <w:p w14:paraId="74901B5B" w14:textId="6DC51320" w:rsidR="004F0C0D" w:rsidRPr="002B4670" w:rsidRDefault="004F0C0D" w:rsidP="002B4670">
      <w:pPr>
        <w:numPr>
          <w:ilvl w:val="0"/>
          <w:numId w:val="1"/>
        </w:numPr>
        <w:spacing w:after="120" w:line="240" w:lineRule="auto"/>
        <w:ind w:left="357" w:hanging="357"/>
        <w:jc w:val="both"/>
        <w:rPr>
          <w:rFonts w:eastAsia="Times New Roman" w:cs="Times New Roman"/>
          <w:bCs/>
          <w:szCs w:val="24"/>
          <w:lang w:eastAsia="lt-LT" w:bidi="lt-LT"/>
        </w:rPr>
      </w:pPr>
      <w:r w:rsidRPr="004F0C0D">
        <w:rPr>
          <w:rFonts w:eastAsia="Times New Roman" w:cs="Times New Roman"/>
          <w:bCs/>
          <w:szCs w:val="24"/>
          <w:lang w:eastAsia="lt-LT" w:bidi="lt-LT"/>
        </w:rPr>
        <w:t xml:space="preserve">Bylos nagrinėjimo kasaciniame teisme ribas apibrėžia CPK 353 straipsnis. Pagal šio straipsnio </w:t>
      </w:r>
      <w:r w:rsidR="009E420E">
        <w:rPr>
          <w:rFonts w:eastAsia="Times New Roman" w:cs="Times New Roman"/>
          <w:bCs/>
          <w:szCs w:val="24"/>
          <w:lang w:eastAsia="lt-LT" w:bidi="lt-LT"/>
        </w:rPr>
        <w:t>pirmąją</w:t>
      </w:r>
      <w:r w:rsidRPr="004F0C0D">
        <w:rPr>
          <w:rFonts w:eastAsia="Times New Roman" w:cs="Times New Roman"/>
          <w:bCs/>
          <w:szCs w:val="24"/>
          <w:lang w:eastAsia="lt-LT" w:bidi="lt-LT"/>
        </w:rPr>
        <w:t xml:space="preserve"> dalį</w:t>
      </w:r>
      <w:r w:rsidR="00FD6A39">
        <w:rPr>
          <w:rFonts w:eastAsia="Times New Roman" w:cs="Times New Roman"/>
          <w:bCs/>
          <w:szCs w:val="24"/>
          <w:lang w:eastAsia="lt-LT" w:bidi="lt-LT"/>
        </w:rPr>
        <w:t>,</w:t>
      </w:r>
      <w:r w:rsidRPr="004F0C0D">
        <w:rPr>
          <w:rFonts w:eastAsia="Times New Roman" w:cs="Times New Roman"/>
          <w:bCs/>
          <w:szCs w:val="24"/>
          <w:lang w:eastAsia="lt-LT" w:bidi="lt-LT"/>
        </w:rPr>
        <w:t xml:space="preserve">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r>
        <w:rPr>
          <w:rFonts w:eastAsia="Times New Roman" w:cs="Times New Roman"/>
          <w:bCs/>
          <w:szCs w:val="24"/>
          <w:lang w:eastAsia="lt-LT" w:bidi="lt-LT"/>
        </w:rPr>
        <w:t>.</w:t>
      </w:r>
    </w:p>
    <w:p w14:paraId="20C8D546" w14:textId="637A1083" w:rsidR="002B4670" w:rsidRDefault="004F0C0D" w:rsidP="002B4670">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Atsakovė k</w:t>
      </w:r>
      <w:r w:rsidR="002B4670" w:rsidRPr="002B4670">
        <w:rPr>
          <w:rFonts w:eastAsia="Times New Roman" w:cs="Times New Roman"/>
          <w:bCs/>
          <w:szCs w:val="24"/>
          <w:lang w:eastAsia="lt-LT" w:bidi="lt-LT"/>
        </w:rPr>
        <w:t>asaci</w:t>
      </w:r>
      <w:r>
        <w:rPr>
          <w:rFonts w:eastAsia="Times New Roman" w:cs="Times New Roman"/>
          <w:bCs/>
          <w:szCs w:val="24"/>
          <w:lang w:eastAsia="lt-LT" w:bidi="lt-LT"/>
        </w:rPr>
        <w:t xml:space="preserve">niame skunde nurodo šiuos kasacijos pagrindus: atsakovė nesutinka su apeliacinės instancijos teismo nutarties dalimis, kuriomis apeliacinės instancijos teismas nemotyvavo skundžiamos nutarties, nepasisakydamas dėl atsakovės apeliaciniame skunde pateiktų argumentų; </w:t>
      </w:r>
      <w:r w:rsidR="00AC3C4A">
        <w:rPr>
          <w:rFonts w:eastAsia="Times New Roman" w:cs="Times New Roman"/>
          <w:bCs/>
          <w:szCs w:val="24"/>
          <w:lang w:eastAsia="lt-LT" w:bidi="lt-LT"/>
        </w:rPr>
        <w:t>taip pat</w:t>
      </w:r>
      <w:r>
        <w:rPr>
          <w:rFonts w:eastAsia="Times New Roman" w:cs="Times New Roman"/>
          <w:bCs/>
          <w:szCs w:val="24"/>
          <w:lang w:eastAsia="lt-LT" w:bidi="lt-LT"/>
        </w:rPr>
        <w:t xml:space="preserve"> nesutinka su apeliacinės instancijos teismo nutarties dalimis, </w:t>
      </w:r>
      <w:r>
        <w:rPr>
          <w:rFonts w:eastAsia="Times New Roman" w:cs="Times New Roman"/>
          <w:bCs/>
          <w:szCs w:val="24"/>
          <w:lang w:eastAsia="lt-LT" w:bidi="lt-LT"/>
        </w:rPr>
        <w:lastRenderedPageBreak/>
        <w:t>kuriomis apeliacinės instancijos teismas nukrypo nuo kasacinio teismo suformuotos teisės aiškinimo ir taikymo praktikos dėl teismo nutartimi patvirtintos taikos sutarties taikymo ribų.</w:t>
      </w:r>
    </w:p>
    <w:p w14:paraId="109BF224" w14:textId="24C9466A" w:rsidR="004F0C0D" w:rsidRPr="002B4670" w:rsidRDefault="004F0C0D" w:rsidP="002B4670">
      <w:pPr>
        <w:numPr>
          <w:ilvl w:val="0"/>
          <w:numId w:val="1"/>
        </w:numPr>
        <w:spacing w:after="120" w:line="240" w:lineRule="auto"/>
        <w:ind w:left="357" w:hanging="357"/>
        <w:jc w:val="both"/>
        <w:rPr>
          <w:rFonts w:eastAsia="Times New Roman" w:cs="Times New Roman"/>
          <w:bCs/>
          <w:szCs w:val="24"/>
          <w:lang w:eastAsia="lt-LT" w:bidi="lt-LT"/>
        </w:rPr>
      </w:pPr>
      <w:r w:rsidRPr="004F0C0D">
        <w:rPr>
          <w:rFonts w:eastAsia="Times New Roman" w:cs="Times New Roman"/>
          <w:bCs/>
          <w:szCs w:val="24"/>
          <w:lang w:eastAsia="lt-LT" w:bidi="lt-LT"/>
        </w:rPr>
        <w:t>Teisėjų kolegija</w:t>
      </w:r>
      <w:r>
        <w:rPr>
          <w:rFonts w:eastAsia="Times New Roman" w:cs="Times New Roman"/>
          <w:bCs/>
          <w:szCs w:val="24"/>
          <w:lang w:eastAsia="lt-LT" w:bidi="lt-LT"/>
        </w:rPr>
        <w:t xml:space="preserve"> </w:t>
      </w:r>
      <w:r w:rsidRPr="004F0C0D">
        <w:rPr>
          <w:rFonts w:eastAsia="Times New Roman" w:cs="Times New Roman"/>
          <w:bCs/>
          <w:szCs w:val="24"/>
          <w:lang w:eastAsia="lt-LT" w:bidi="lt-LT"/>
        </w:rPr>
        <w:t>toliau pasisako tik dėl kasaciniame skunde nurodyt</w:t>
      </w:r>
      <w:r>
        <w:rPr>
          <w:rFonts w:eastAsia="Times New Roman" w:cs="Times New Roman"/>
          <w:bCs/>
          <w:szCs w:val="24"/>
          <w:lang w:eastAsia="lt-LT" w:bidi="lt-LT"/>
        </w:rPr>
        <w:t>ų</w:t>
      </w:r>
      <w:r w:rsidRPr="004F0C0D">
        <w:rPr>
          <w:rFonts w:eastAsia="Times New Roman" w:cs="Times New Roman"/>
          <w:bCs/>
          <w:szCs w:val="24"/>
          <w:lang w:eastAsia="lt-LT" w:bidi="lt-LT"/>
        </w:rPr>
        <w:t xml:space="preserve"> kasacijos pagrind</w:t>
      </w:r>
      <w:r>
        <w:rPr>
          <w:rFonts w:eastAsia="Times New Roman" w:cs="Times New Roman"/>
          <w:bCs/>
          <w:szCs w:val="24"/>
          <w:lang w:eastAsia="lt-LT" w:bidi="lt-LT"/>
        </w:rPr>
        <w:t>ų.</w:t>
      </w:r>
    </w:p>
    <w:p w14:paraId="5D402E2F" w14:textId="77777777" w:rsidR="002B4670" w:rsidRDefault="002B4670" w:rsidP="003A75F1">
      <w:pPr>
        <w:spacing w:after="120" w:line="240" w:lineRule="auto"/>
        <w:ind w:firstLine="720"/>
        <w:jc w:val="both"/>
        <w:rPr>
          <w:rFonts w:eastAsia="Times New Roman" w:cs="Times New Roman"/>
          <w:i/>
          <w:szCs w:val="24"/>
          <w:lang w:eastAsia="lt-LT"/>
        </w:rPr>
      </w:pPr>
    </w:p>
    <w:p w14:paraId="2F0E8303" w14:textId="07CCF784" w:rsidR="00097545" w:rsidRDefault="003A75F1" w:rsidP="003A75F1">
      <w:pPr>
        <w:spacing w:after="120" w:line="240" w:lineRule="auto"/>
        <w:ind w:firstLine="720"/>
        <w:jc w:val="both"/>
        <w:rPr>
          <w:rFonts w:eastAsia="Times New Roman" w:cs="Times New Roman"/>
          <w:i/>
          <w:szCs w:val="24"/>
          <w:lang w:eastAsia="lt-LT"/>
        </w:rPr>
      </w:pPr>
      <w:r w:rsidRPr="00495D97">
        <w:rPr>
          <w:rFonts w:eastAsia="Times New Roman" w:cs="Times New Roman"/>
          <w:i/>
          <w:szCs w:val="24"/>
          <w:lang w:eastAsia="lt-LT"/>
        </w:rPr>
        <w:t>Dėl apeliacinės instancijos teismo nutarties motyvavimo</w:t>
      </w:r>
    </w:p>
    <w:p w14:paraId="5AC4D8C3" w14:textId="77777777" w:rsidR="003A75F1" w:rsidRPr="003A75F1" w:rsidRDefault="003A75F1" w:rsidP="003A75F1">
      <w:pPr>
        <w:spacing w:after="120" w:line="240" w:lineRule="auto"/>
        <w:ind w:firstLine="720"/>
        <w:jc w:val="both"/>
        <w:rPr>
          <w:rFonts w:eastAsia="Times New Roman" w:cs="Times New Roman"/>
          <w:i/>
          <w:szCs w:val="24"/>
          <w:lang w:eastAsia="lt-LT"/>
        </w:rPr>
      </w:pPr>
    </w:p>
    <w:p w14:paraId="4CBCA667" w14:textId="77777777" w:rsidR="00097545" w:rsidRPr="002240CF" w:rsidRDefault="00097545" w:rsidP="002240CF">
      <w:pPr>
        <w:numPr>
          <w:ilvl w:val="0"/>
          <w:numId w:val="1"/>
        </w:numPr>
        <w:spacing w:after="120" w:line="240" w:lineRule="auto"/>
        <w:ind w:left="357" w:hanging="357"/>
        <w:jc w:val="both"/>
        <w:rPr>
          <w:rFonts w:eastAsia="Times New Roman" w:cs="Times New Roman"/>
          <w:bCs/>
          <w:szCs w:val="24"/>
          <w:lang w:eastAsia="lt-LT" w:bidi="lt-LT"/>
        </w:rPr>
      </w:pPr>
      <w:r w:rsidRPr="00D71F66">
        <w:rPr>
          <w:rFonts w:eastAsia="Times New Roman" w:cs="Times New Roman"/>
          <w:iCs/>
          <w:szCs w:val="24"/>
          <w:lang w:eastAsia="lt-LT"/>
        </w:rPr>
        <w:t xml:space="preserve">Atsakovė kasaciniame skunde nurodo, kad </w:t>
      </w:r>
      <w:r w:rsidR="009934EE" w:rsidRPr="00D71F66">
        <w:rPr>
          <w:rFonts w:eastAsia="Times New Roman" w:cs="Times New Roman"/>
          <w:iCs/>
          <w:szCs w:val="24"/>
          <w:lang w:eastAsia="lt-LT"/>
        </w:rPr>
        <w:t xml:space="preserve">apeliacinės instancijos teismas </w:t>
      </w:r>
      <w:r w:rsidR="00D71F66">
        <w:rPr>
          <w:rFonts w:eastAsia="Times New Roman" w:cs="Times New Roman"/>
          <w:iCs/>
          <w:szCs w:val="24"/>
          <w:lang w:eastAsia="lt-LT"/>
        </w:rPr>
        <w:t xml:space="preserve">nepasisakė dėl atsakovės apeliaciniame skunde keliamų esminių bylos aplinkybių, </w:t>
      </w:r>
      <w:r w:rsidR="002240CF">
        <w:rPr>
          <w:rFonts w:eastAsia="Times New Roman" w:cs="Times New Roman"/>
          <w:iCs/>
          <w:szCs w:val="24"/>
          <w:lang w:eastAsia="lt-LT"/>
        </w:rPr>
        <w:t xml:space="preserve">nemotyvavo kasacine tvarka </w:t>
      </w:r>
      <w:r w:rsidR="002240CF" w:rsidRPr="002240CF">
        <w:rPr>
          <w:rFonts w:eastAsia="Times New Roman" w:cs="Times New Roman"/>
          <w:bCs/>
          <w:szCs w:val="24"/>
          <w:lang w:eastAsia="lt-LT" w:bidi="lt-LT"/>
        </w:rPr>
        <w:t xml:space="preserve">skundžiamos nutarties, </w:t>
      </w:r>
      <w:r w:rsidR="00D71F66" w:rsidRPr="002240CF">
        <w:rPr>
          <w:rFonts w:eastAsia="Times New Roman" w:cs="Times New Roman"/>
          <w:bCs/>
          <w:szCs w:val="24"/>
          <w:lang w:eastAsia="lt-LT" w:bidi="lt-LT"/>
        </w:rPr>
        <w:t>o tai, vadovaujantis CPK 329 straipsnio 2 dalies 4 punkto nuostatomis, yra absoliutus nutarties negaliojimo pagrindas.</w:t>
      </w:r>
    </w:p>
    <w:p w14:paraId="7C489707" w14:textId="5B28EA7F" w:rsidR="002240CF" w:rsidRPr="002240CF" w:rsidRDefault="002240CF" w:rsidP="002240CF">
      <w:pPr>
        <w:numPr>
          <w:ilvl w:val="0"/>
          <w:numId w:val="1"/>
        </w:numPr>
        <w:spacing w:after="120" w:line="240" w:lineRule="auto"/>
        <w:ind w:left="357" w:hanging="357"/>
        <w:jc w:val="both"/>
        <w:rPr>
          <w:rFonts w:eastAsia="Times New Roman" w:cs="Times New Roman"/>
          <w:iCs/>
          <w:szCs w:val="24"/>
          <w:lang w:eastAsia="lt-LT"/>
        </w:rPr>
      </w:pPr>
      <w:r w:rsidRPr="002240CF">
        <w:rPr>
          <w:rFonts w:eastAsia="Times New Roman" w:cs="Times New Roman"/>
          <w:bCs/>
          <w:szCs w:val="24"/>
          <w:lang w:eastAsia="lt-LT" w:bidi="lt-LT"/>
        </w:rPr>
        <w:t>Teismo sprendimas turi būti teisėtas ir pagrįstas (CPK 263 straipsnis). Šie reikalavimai taikytini visų instancijų teismų priimamiems sprendimams ir yra susiję su įstatymu pavesta teismo pareiga</w:t>
      </w:r>
      <w:r w:rsidRPr="00D76812">
        <w:rPr>
          <w:iCs/>
          <w:lang w:eastAsia="lt-LT"/>
        </w:rPr>
        <w:t xml:space="preserve"> tinkamai motyvuoti priimamą sprendimą, t. y. jį pagrįsti faktiniais ir teisiniais argumentais (CPK 270, 331 straipsniai). CPK 331 straipsnio 4 dalyje įtvirtinta, kad apeliacinės instancijos teismo sprendimo (nutarties) motyvuojamojoje dalyje glausta forma turi būti išdėstytos teismo nustatytos bylos aplinkybės, įrodymai, kuriais grindžiamos teismo išvados, argumentai, dėl kurių teismas atmetė kuriuos nors įrodymus, taip pat įstatymai ir kiti teisės aktai bei teisiniai argumentai, kuriais teismas vadovavosi darydamas išvadas</w:t>
      </w:r>
      <w:r w:rsidRPr="001219A1">
        <w:rPr>
          <w:iCs/>
          <w:lang w:eastAsia="lt-LT"/>
        </w:rPr>
        <w:t>.</w:t>
      </w:r>
      <w:r w:rsidR="001219A1" w:rsidRPr="001219A1">
        <w:rPr>
          <w:iCs/>
          <w:lang w:eastAsia="lt-LT"/>
        </w:rPr>
        <w:t xml:space="preserve"> Toks teisinis reglamentavimas reiškia, kad sprendimo (nutarties) motyvuojamojoje dalyje teismas turi pagrįsti išvadas, išdėstytas sprendimo rezoliucinėje dalyje, t. y. jis turi įvertinti dalyvaujančių byloje asmenų pateiktus įrodymus ir nustatyti ginčui reikšmingas faktines aplinkybes, pritaikyti ginčui aktualias teisės aktų nuostatas, nurodyti argumentus, kodėl jis nelaiko patikimais ir nesiremia konkrečiais įrodymais, atmeta kaip nepagrįstus šalių nurodyt</w:t>
      </w:r>
      <w:r w:rsidR="00274394">
        <w:rPr>
          <w:iCs/>
          <w:lang w:eastAsia="lt-LT"/>
        </w:rPr>
        <w:t>u</w:t>
      </w:r>
      <w:r w:rsidR="001219A1" w:rsidRPr="001219A1">
        <w:rPr>
          <w:iCs/>
          <w:lang w:eastAsia="lt-LT"/>
        </w:rPr>
        <w:t>s argumentus ir pan. Tik išsamiai ištyręs visas bylai teisingai išspręsti reikšmės galinčias turėti aplinkybes ir sprendime (nutartyje) išdėstęs argumentus dėl šių aplinkybių nustatymo bei vertinimo, teismas gali priimti byloje teisingą ir teisėtą sprendimą, taip, be kita ko, įgyvendindamas ir dalyvaujančių byloje asmenų teisę būti išklausytiems</w:t>
      </w:r>
      <w:r w:rsidR="001219A1">
        <w:rPr>
          <w:iCs/>
          <w:lang w:eastAsia="lt-LT"/>
        </w:rPr>
        <w:t>.</w:t>
      </w:r>
    </w:p>
    <w:p w14:paraId="5BE9CC18" w14:textId="4BB8EB65" w:rsidR="002240CF" w:rsidRPr="003A75F1" w:rsidRDefault="001219A1" w:rsidP="002240CF">
      <w:pPr>
        <w:numPr>
          <w:ilvl w:val="0"/>
          <w:numId w:val="1"/>
        </w:numPr>
        <w:spacing w:after="120" w:line="240" w:lineRule="auto"/>
        <w:ind w:left="357" w:hanging="357"/>
        <w:jc w:val="both"/>
        <w:rPr>
          <w:rFonts w:eastAsia="Times New Roman" w:cs="Times New Roman"/>
          <w:iCs/>
          <w:szCs w:val="24"/>
          <w:lang w:eastAsia="lt-LT"/>
        </w:rPr>
      </w:pPr>
      <w:r w:rsidRPr="001219A1">
        <w:rPr>
          <w:iCs/>
          <w:lang w:eastAsia="lt-LT"/>
        </w:rPr>
        <w:t>Tinkamo teismo sprendimo motyvavimo, kaip vieno iš teisės į teisingą teismą elementų, svarba yra pabrėžiama ir Europos Žmogaus Teisių Teismo (toliau – EŽTT) jurisprudencijoje. EŽTT šiuo aspektu yra išaiškinęs, kad Žmogaus teisių ir pagrindinių laisvių apsaugos konvencijos 6</w:t>
      </w:r>
      <w:r w:rsidR="003A4C7D">
        <w:rPr>
          <w:iCs/>
          <w:lang w:eastAsia="lt-LT"/>
        </w:rPr>
        <w:t> </w:t>
      </w:r>
      <w:r w:rsidRPr="001219A1">
        <w:rPr>
          <w:iCs/>
          <w:lang w:eastAsia="lt-LT"/>
        </w:rPr>
        <w:t xml:space="preserve">straipsnio 1 dalis nacionalinius teismus įpareigoja išsamiai ištirti šalių pateiktus paaiškinimus, argumentus ir įrodymus be išankstinio vertinimo, ar jie svarbūs sprendimo priėmimui. EŽTT savo jurisprudencijoje taip pat yra nurodęs, kad teismų ir tribunolų sprendimuose turėtų būti tinkamai nurodyti motyvai, kuriais jie yra pagrįsti; sprendimo motyvavimas yra būtinas, norint parodyti, kad bylos šalys buvo išklausytos ir teisingumas įvykdytas atidžiai (pvz., EŽTT 2001 m. rugsėjo 27 d. sprendimas byloje </w:t>
      </w:r>
      <w:proofErr w:type="spellStart"/>
      <w:r w:rsidRPr="006E1F2D">
        <w:rPr>
          <w:i/>
          <w:lang w:eastAsia="lt-LT"/>
        </w:rPr>
        <w:t>Hirvisaari</w:t>
      </w:r>
      <w:proofErr w:type="spellEnd"/>
      <w:r w:rsidRPr="006E1F2D">
        <w:rPr>
          <w:i/>
          <w:lang w:eastAsia="lt-LT"/>
        </w:rPr>
        <w:t xml:space="preserve"> prieš Suomiją</w:t>
      </w:r>
      <w:r w:rsidRPr="001219A1">
        <w:rPr>
          <w:iCs/>
          <w:lang w:eastAsia="lt-LT"/>
        </w:rPr>
        <w:t xml:space="preserve">, peticijos Nr. 4968/99). Nacionalinių teismų sprendimų motyvai turi būti pakankami, kad atsakytų į esminius šalies pateiktų faktinių ir teisinių (materialinių ar procesinių) argumentų aspektus (pvz., EŽTT 1994 m. gruodžio 9 d. sprendimas byloje </w:t>
      </w:r>
      <w:proofErr w:type="spellStart"/>
      <w:r w:rsidRPr="006E1F2D">
        <w:rPr>
          <w:i/>
          <w:lang w:eastAsia="lt-LT"/>
        </w:rPr>
        <w:t>Ruiz</w:t>
      </w:r>
      <w:proofErr w:type="spellEnd"/>
      <w:r w:rsidRPr="006E1F2D">
        <w:rPr>
          <w:i/>
          <w:lang w:eastAsia="lt-LT"/>
        </w:rPr>
        <w:t xml:space="preserve"> </w:t>
      </w:r>
      <w:proofErr w:type="spellStart"/>
      <w:r w:rsidRPr="006E1F2D">
        <w:rPr>
          <w:i/>
          <w:lang w:eastAsia="lt-LT"/>
        </w:rPr>
        <w:t>Torija</w:t>
      </w:r>
      <w:proofErr w:type="spellEnd"/>
      <w:r w:rsidRPr="006E1F2D">
        <w:rPr>
          <w:i/>
          <w:lang w:eastAsia="lt-LT"/>
        </w:rPr>
        <w:t xml:space="preserve"> prieš Ispaniją</w:t>
      </w:r>
      <w:r w:rsidRPr="001219A1">
        <w:rPr>
          <w:iCs/>
          <w:lang w:eastAsia="lt-LT"/>
        </w:rPr>
        <w:t>, peticijos Nr. 18390/91)</w:t>
      </w:r>
      <w:r w:rsidR="002240CF" w:rsidRPr="003A75F1">
        <w:rPr>
          <w:iCs/>
          <w:lang w:eastAsia="lt-LT"/>
        </w:rPr>
        <w:t>.</w:t>
      </w:r>
    </w:p>
    <w:p w14:paraId="501468E3" w14:textId="77777777" w:rsidR="001219A1" w:rsidRDefault="001219A1" w:rsidP="00097545">
      <w:pPr>
        <w:numPr>
          <w:ilvl w:val="0"/>
          <w:numId w:val="1"/>
        </w:numPr>
        <w:spacing w:after="120" w:line="240" w:lineRule="auto"/>
        <w:ind w:left="357" w:hanging="357"/>
        <w:jc w:val="both"/>
        <w:rPr>
          <w:iCs/>
          <w:lang w:eastAsia="lt-LT"/>
        </w:rPr>
      </w:pPr>
      <w:r w:rsidRPr="001219A1">
        <w:rPr>
          <w:iCs/>
          <w:lang w:eastAsia="lt-LT"/>
        </w:rPr>
        <w:t xml:space="preserve">Kita vertus, aplinkybė, kad teismas sprendimo (nutarties) motyvuojamojoje dalyje detaliai neatsakė į kiekvieną dalyvaujančių byloje asmenų išdėstytą argumentą, neaptarė kiekvienos jų nurodytos aplinkybės ar pateikto įrodymo, nesudaro pagrindo visais atvejais vertinti, kad teismo sprendimas yra nemotyvuotas ir nepagrįstas. Tiek EŽTT jurisprudencijoje, tiek kasacinio teismo praktikoje ne kartą pažymėta, kad teismo pareiga pagrįsti priimtą sprendimą neturėtų būti suprantama kaip reikalavimas detaliai atsakyti į kiekvieną argumentą (pvz., EŽTT 1994 m. balandžio 19 d. sprendimas byloje </w:t>
      </w:r>
      <w:r w:rsidRPr="006E1F2D">
        <w:rPr>
          <w:i/>
          <w:lang w:eastAsia="lt-LT"/>
        </w:rPr>
        <w:t xml:space="preserve">Van de </w:t>
      </w:r>
      <w:proofErr w:type="spellStart"/>
      <w:r w:rsidRPr="006E1F2D">
        <w:rPr>
          <w:i/>
          <w:lang w:eastAsia="lt-LT"/>
        </w:rPr>
        <w:t>Hurk</w:t>
      </w:r>
      <w:proofErr w:type="spellEnd"/>
      <w:r w:rsidRPr="006E1F2D">
        <w:rPr>
          <w:i/>
          <w:lang w:eastAsia="lt-LT"/>
        </w:rPr>
        <w:t xml:space="preserve"> prieš Nyderlandų Karalystę</w:t>
      </w:r>
      <w:r w:rsidRPr="001219A1">
        <w:rPr>
          <w:iCs/>
          <w:lang w:eastAsia="lt-LT"/>
        </w:rPr>
        <w:t xml:space="preserve">, peticijos Nr. 288; Lietuvos Aukščiausiojo Teismo 2016 m. lapkričio 7 d. nutartis civilinėje byloje Nr. 3K-3-408-687/2018, 40 punktas). Toks aiškinimas gali būti grindžiamas tuo, kad dalis byloje nurodytų argumentų gali būti nesusiję su byloje keliamu ginču, neturėti esminės reikšmės priimant sprendimą dėl pareikštų reikalavimų pagrįstumo. Tuo atveju, jeigu teismas įvertino byloje </w:t>
      </w:r>
      <w:r w:rsidRPr="001219A1">
        <w:rPr>
          <w:iCs/>
          <w:lang w:eastAsia="lt-LT"/>
        </w:rPr>
        <w:lastRenderedPageBreak/>
        <w:t>surinktus įrodymus, nustatė ir nurodė visas bylai teisingai išspręsti turinčias reikšmės aplinkybes, identifikavo ir įvertino esminius byloje keliamus klausimus bei į juos argumentuotai atsakė, pateikė motyvuotus argumentus dėl byloje nagrinėjamo ginčo išsprendimo, tai vien tai, kad bylai išnagrinėti esminės reikšmės neturinčios aplinkybės ar įrodymai nebuvo išsamiai aptarti teismo sprendime, paprastai nelemia šio sprendimo neteisėtumo</w:t>
      </w:r>
      <w:r>
        <w:rPr>
          <w:iCs/>
          <w:lang w:eastAsia="lt-LT"/>
        </w:rPr>
        <w:t>.</w:t>
      </w:r>
    </w:p>
    <w:p w14:paraId="0BA59C8C" w14:textId="07F056A3" w:rsidR="001219A1" w:rsidRDefault="001219A1" w:rsidP="00097545">
      <w:pPr>
        <w:numPr>
          <w:ilvl w:val="0"/>
          <w:numId w:val="1"/>
        </w:numPr>
        <w:spacing w:after="120" w:line="240" w:lineRule="auto"/>
        <w:ind w:left="357" w:hanging="357"/>
        <w:jc w:val="both"/>
        <w:rPr>
          <w:iCs/>
          <w:lang w:eastAsia="lt-LT"/>
        </w:rPr>
      </w:pPr>
      <w:r w:rsidRPr="001219A1">
        <w:rPr>
          <w:iCs/>
          <w:lang w:eastAsia="lt-LT"/>
        </w:rPr>
        <w:t xml:space="preserve">Tinkamu apeliacinės instancijos teismo sprendimo motyvavimu teismų praktikoje yra laikomi ir atvejai, kai apeliacinis teismas, atmesdamas apeliacinį skundą, iš naujo nekartoja visų pirmosios instancijos teismo nurodytų aplinkybių ir argumentų, bet tiesiog pritaria šio teismo priimto sprendimo motyvams (pvz., EŽTT 1997 m. gruodžio 19 d. sprendimas byloje </w:t>
      </w:r>
      <w:proofErr w:type="spellStart"/>
      <w:r w:rsidRPr="006E1F2D">
        <w:rPr>
          <w:i/>
          <w:lang w:eastAsia="lt-LT"/>
        </w:rPr>
        <w:t>Helle</w:t>
      </w:r>
      <w:proofErr w:type="spellEnd"/>
      <w:r w:rsidRPr="006E1F2D">
        <w:rPr>
          <w:i/>
          <w:lang w:eastAsia="lt-LT"/>
        </w:rPr>
        <w:t xml:space="preserve"> prieš Suomiją</w:t>
      </w:r>
      <w:r w:rsidRPr="001219A1">
        <w:rPr>
          <w:iCs/>
          <w:lang w:eastAsia="lt-LT"/>
        </w:rPr>
        <w:t xml:space="preserve">, peticijos Nr. 2930; Lietuvos Aukščiausiojo Teismo 2015 m. lapkričio 4 d. nutartis civilinėje byloje Nr. 3K-3-558-421/2015). Vis dėlto tam, kad </w:t>
      </w:r>
      <w:r w:rsidRPr="00A94356">
        <w:rPr>
          <w:iCs/>
          <w:color w:val="000000" w:themeColor="text1"/>
          <w:lang w:eastAsia="lt-LT"/>
        </w:rPr>
        <w:t>apeliacin</w:t>
      </w:r>
      <w:r w:rsidR="00FB336D" w:rsidRPr="00A94356">
        <w:rPr>
          <w:iCs/>
          <w:color w:val="000000" w:themeColor="text1"/>
          <w:lang w:eastAsia="lt-LT"/>
        </w:rPr>
        <w:t>ė</w:t>
      </w:r>
      <w:r w:rsidRPr="00A94356">
        <w:rPr>
          <w:iCs/>
          <w:color w:val="000000" w:themeColor="text1"/>
          <w:lang w:eastAsia="lt-LT"/>
        </w:rPr>
        <w:t>s</w:t>
      </w:r>
      <w:r w:rsidR="00FB336D" w:rsidRPr="00A94356">
        <w:rPr>
          <w:iCs/>
          <w:color w:val="000000" w:themeColor="text1"/>
          <w:lang w:eastAsia="lt-LT"/>
        </w:rPr>
        <w:t xml:space="preserve"> instancijos</w:t>
      </w:r>
      <w:r w:rsidRPr="00A94356">
        <w:rPr>
          <w:iCs/>
          <w:color w:val="000000" w:themeColor="text1"/>
          <w:lang w:eastAsia="lt-LT"/>
        </w:rPr>
        <w:t xml:space="preserve"> teismas</w:t>
      </w:r>
      <w:r w:rsidRPr="00FB336D">
        <w:rPr>
          <w:iCs/>
          <w:color w:val="000000" w:themeColor="text1"/>
          <w:lang w:eastAsia="lt-LT"/>
        </w:rPr>
        <w:t xml:space="preserve"> </w:t>
      </w:r>
      <w:r w:rsidRPr="001219A1">
        <w:rPr>
          <w:iCs/>
          <w:lang w:eastAsia="lt-LT"/>
        </w:rPr>
        <w:t>galėtų tokiu būdu motyvuoti savo procesinį sprendimą, pirmosios instancijos teismo sprendime padarytos išvados turi būti tinkamai motyvuotos, t. y. jame turi būti pateikti konkretūs pirmosios instancijos teismo išvadas pagrindžiantys argumentai, kuriuos apeliacinės instancijos teismas turi įvertinti pagal apeliaciniame skunde apibrėžtas ginčo ribas ir kuriems, nustatęs, kad jie yra pagrįsti, gali pritarti</w:t>
      </w:r>
      <w:r>
        <w:rPr>
          <w:iCs/>
          <w:lang w:eastAsia="lt-LT"/>
        </w:rPr>
        <w:t>.</w:t>
      </w:r>
    </w:p>
    <w:p w14:paraId="1530508E" w14:textId="0A90F59D" w:rsidR="00CE70E2" w:rsidRDefault="00CE70E2" w:rsidP="00097545">
      <w:pPr>
        <w:numPr>
          <w:ilvl w:val="0"/>
          <w:numId w:val="1"/>
        </w:numPr>
        <w:spacing w:after="120" w:line="240" w:lineRule="auto"/>
        <w:ind w:left="357" w:hanging="357"/>
        <w:jc w:val="both"/>
        <w:rPr>
          <w:iCs/>
          <w:lang w:eastAsia="lt-LT"/>
        </w:rPr>
      </w:pPr>
      <w:r w:rsidRPr="00CE70E2">
        <w:rPr>
          <w:iCs/>
          <w:lang w:eastAsia="lt-LT"/>
        </w:rPr>
        <w:t>Lietuvos Aukščiausiasis Teismas yra išaiškinęs, kad, pagal CPK 329 straipsnio 2 dalies 4 punktą, absoliučiu sprendimo ar nutarties negaliojimo pagrindu laikomas visiškas motyvų nebuvimas. Teismo sprendimo (nutarties) nepakankamas motyvavimas nėra jo absoliutus negaliojimo pagrindas pagal CPK 329 straipsnio 2 dalies 4 punktą. Tuo atveju, kai teismo sprendimo (nutarties) motyvai yra neišsamūs, šis pažeidimas gali būti pripažintas esminiu pagal CPK 346 straipsnio 2 dalies 1 punktą, jeigu sprendimo (nutarties) motyvuojamojoje dalyje neatsakyta į pagrindinius (esminius) bylos faktinius ir teisinius aspektus ir dėl to byla galėjo būti išspręsta neteisingai. Pagal CPK 346 straipsnio 2 dalies 1 punktą, kasacijos pagrindas yra tik esminis proceso teisės normų pažeidimas, be to, kai šis pažeidimas galėjo turėti įtakos priimant neteisėtą nutartį. Jeigu nenustatoma kitų pagrindų, tai apeliacinės instancijos teismo nutartis nėra naikinama vien dėl to, kad jos motyvai neišsamūs, o visa bylos medžiaga leidžia daryti išvadą apie tai, kokiais teisiniais argumentais vadovaudamasis teismas atmetė apeliacinį skundą (žr., pvz., Lietuvos Aukščiausiojo Teismo 2017 m. gegužės 12 d. nutarties civilinėje byloje Nr. 3K-3-215-915/2017 25 punktą)</w:t>
      </w:r>
      <w:r>
        <w:rPr>
          <w:iCs/>
          <w:lang w:eastAsia="lt-LT"/>
        </w:rPr>
        <w:t>.</w:t>
      </w:r>
    </w:p>
    <w:p w14:paraId="766B41AB" w14:textId="52734D54" w:rsidR="00CE70E2" w:rsidRDefault="00A16976" w:rsidP="00097545">
      <w:pPr>
        <w:numPr>
          <w:ilvl w:val="0"/>
          <w:numId w:val="1"/>
        </w:numPr>
        <w:spacing w:after="120" w:line="240" w:lineRule="auto"/>
        <w:ind w:left="357" w:hanging="357"/>
        <w:jc w:val="both"/>
        <w:rPr>
          <w:iCs/>
          <w:lang w:eastAsia="lt-LT"/>
        </w:rPr>
      </w:pPr>
      <w:r>
        <w:rPr>
          <w:iCs/>
          <w:lang w:eastAsia="lt-LT"/>
        </w:rPr>
        <w:t xml:space="preserve"> </w:t>
      </w:r>
      <w:r w:rsidR="001219A1">
        <w:rPr>
          <w:iCs/>
          <w:lang w:eastAsia="lt-LT"/>
        </w:rPr>
        <w:t>A</w:t>
      </w:r>
      <w:r>
        <w:rPr>
          <w:iCs/>
          <w:lang w:eastAsia="lt-LT"/>
        </w:rPr>
        <w:t xml:space="preserve">tsakovė kasaciniame skunde </w:t>
      </w:r>
      <w:r w:rsidR="004A0873">
        <w:rPr>
          <w:iCs/>
          <w:lang w:eastAsia="lt-LT"/>
        </w:rPr>
        <w:t xml:space="preserve">teigia, </w:t>
      </w:r>
      <w:r w:rsidR="001219A1">
        <w:rPr>
          <w:iCs/>
          <w:lang w:eastAsia="lt-LT"/>
        </w:rPr>
        <w:t>kad apeliacinės instancijos teismas motyvuotai neįvertino jos</w:t>
      </w:r>
      <w:r>
        <w:rPr>
          <w:iCs/>
          <w:lang w:eastAsia="lt-LT"/>
        </w:rPr>
        <w:t xml:space="preserve"> apeliaciniame </w:t>
      </w:r>
      <w:r w:rsidR="004A0873">
        <w:rPr>
          <w:iCs/>
          <w:lang w:eastAsia="lt-LT"/>
        </w:rPr>
        <w:t xml:space="preserve">skunde </w:t>
      </w:r>
      <w:r>
        <w:rPr>
          <w:iCs/>
          <w:lang w:eastAsia="lt-LT"/>
        </w:rPr>
        <w:t>pateik</w:t>
      </w:r>
      <w:r w:rsidR="001219A1">
        <w:rPr>
          <w:iCs/>
          <w:lang w:eastAsia="lt-LT"/>
        </w:rPr>
        <w:t>tų</w:t>
      </w:r>
      <w:r>
        <w:rPr>
          <w:iCs/>
          <w:lang w:eastAsia="lt-LT"/>
        </w:rPr>
        <w:t xml:space="preserve"> argument</w:t>
      </w:r>
      <w:r w:rsidR="001219A1">
        <w:rPr>
          <w:iCs/>
          <w:lang w:eastAsia="lt-LT"/>
        </w:rPr>
        <w:t>ų</w:t>
      </w:r>
      <w:r>
        <w:rPr>
          <w:iCs/>
          <w:lang w:eastAsia="lt-LT"/>
        </w:rPr>
        <w:t>,</w:t>
      </w:r>
      <w:r w:rsidR="004A0873">
        <w:rPr>
          <w:iCs/>
          <w:lang w:eastAsia="lt-LT"/>
        </w:rPr>
        <w:t xml:space="preserve"> </w:t>
      </w:r>
      <w:r>
        <w:rPr>
          <w:iCs/>
          <w:lang w:eastAsia="lt-LT"/>
        </w:rPr>
        <w:t>kodėl Sutartis pasibaigė įvykdžius jos dalyką</w:t>
      </w:r>
      <w:r w:rsidR="004A0873">
        <w:rPr>
          <w:iCs/>
          <w:lang w:eastAsia="lt-LT"/>
        </w:rPr>
        <w:t>.</w:t>
      </w:r>
      <w:r w:rsidR="00CE70E2" w:rsidRPr="00CE70E2">
        <w:rPr>
          <w:iCs/>
          <w:lang w:eastAsia="lt-LT"/>
        </w:rPr>
        <w:t xml:space="preserve"> </w:t>
      </w:r>
      <w:r w:rsidR="00D0022D">
        <w:rPr>
          <w:iCs/>
          <w:lang w:eastAsia="lt-LT"/>
        </w:rPr>
        <w:t>T</w:t>
      </w:r>
      <w:r w:rsidR="00CE70E2" w:rsidRPr="00CE70E2">
        <w:rPr>
          <w:iCs/>
          <w:lang w:eastAsia="lt-LT"/>
        </w:rPr>
        <w:t xml:space="preserve">aip pat teigia, jog apeliacinės instancijos teismas motyvuotai neįvertino jos apeliaciniame skunde pateiktų argumentų, kodėl pirmosios instancijos teismo išaiškinimas, jog </w:t>
      </w:r>
      <w:r w:rsidR="00CE70E2" w:rsidRPr="00A94356">
        <w:rPr>
          <w:iCs/>
          <w:color w:val="000000" w:themeColor="text1"/>
          <w:lang w:eastAsia="lt-LT"/>
        </w:rPr>
        <w:t xml:space="preserve">Sutartis negali pasibaigti </w:t>
      </w:r>
      <w:r w:rsidR="00CE70E2" w:rsidRPr="00A94356">
        <w:rPr>
          <w:iCs/>
          <w:lang w:eastAsia="lt-LT"/>
        </w:rPr>
        <w:t>anksčiau</w:t>
      </w:r>
      <w:r w:rsidR="00D0022D">
        <w:rPr>
          <w:iCs/>
          <w:lang w:eastAsia="lt-LT"/>
        </w:rPr>
        <w:t>,</w:t>
      </w:r>
      <w:r w:rsidR="00CE70E2" w:rsidRPr="00CE70E2">
        <w:rPr>
          <w:iCs/>
          <w:lang w:eastAsia="lt-LT"/>
        </w:rPr>
        <w:t xml:space="preserve"> nei </w:t>
      </w:r>
      <w:proofErr w:type="spellStart"/>
      <w:r w:rsidR="00CE70E2" w:rsidRPr="00CE70E2">
        <w:rPr>
          <w:iCs/>
          <w:lang w:eastAsia="lt-LT"/>
        </w:rPr>
        <w:t>generinis</w:t>
      </w:r>
      <w:proofErr w:type="spellEnd"/>
      <w:r w:rsidR="00CE70E2" w:rsidRPr="00CE70E2">
        <w:rPr>
          <w:iCs/>
          <w:lang w:eastAsia="lt-LT"/>
        </w:rPr>
        <w:t xml:space="preserve"> vaistinis preparatas yra įrašytas į kainyną, prieštarauja Aprašo ir Sutarties nuostatoms</w:t>
      </w:r>
      <w:r w:rsidR="00CE70E2">
        <w:rPr>
          <w:iCs/>
          <w:lang w:eastAsia="lt-LT"/>
        </w:rPr>
        <w:t>.</w:t>
      </w:r>
    </w:p>
    <w:p w14:paraId="46EAF34C" w14:textId="29BED648" w:rsidR="009D088D" w:rsidRDefault="00A16976" w:rsidP="00097545">
      <w:pPr>
        <w:numPr>
          <w:ilvl w:val="0"/>
          <w:numId w:val="1"/>
        </w:numPr>
        <w:spacing w:after="120" w:line="240" w:lineRule="auto"/>
        <w:ind w:left="357" w:hanging="357"/>
        <w:jc w:val="both"/>
        <w:rPr>
          <w:iCs/>
          <w:lang w:eastAsia="lt-LT"/>
        </w:rPr>
      </w:pPr>
      <w:r>
        <w:rPr>
          <w:iCs/>
          <w:lang w:eastAsia="lt-LT"/>
        </w:rPr>
        <w:t xml:space="preserve"> </w:t>
      </w:r>
      <w:r w:rsidR="004870B4">
        <w:rPr>
          <w:iCs/>
          <w:lang w:eastAsia="lt-LT"/>
        </w:rPr>
        <w:t>A</w:t>
      </w:r>
      <w:r w:rsidR="004A4902">
        <w:rPr>
          <w:iCs/>
          <w:lang w:eastAsia="lt-LT"/>
        </w:rPr>
        <w:t>peliacinės instancijos teismas skundžiamoje nutartyje nustatė, kad, vadovaujantis Aprašo17</w:t>
      </w:r>
      <w:r w:rsidR="00D0022D">
        <w:rPr>
          <w:iCs/>
          <w:lang w:eastAsia="lt-LT"/>
        </w:rPr>
        <w:t> </w:t>
      </w:r>
      <w:r w:rsidR="004A4902">
        <w:rPr>
          <w:iCs/>
          <w:lang w:eastAsia="lt-LT"/>
        </w:rPr>
        <w:t xml:space="preserve">punktu, gydymo prieinamumo gerinimo ir rizikos pasidalijimo sutartis galioja iki </w:t>
      </w:r>
      <w:proofErr w:type="spellStart"/>
      <w:r w:rsidR="004A4902">
        <w:rPr>
          <w:iCs/>
          <w:lang w:eastAsia="lt-LT"/>
        </w:rPr>
        <w:t>generinio</w:t>
      </w:r>
      <w:proofErr w:type="spellEnd"/>
      <w:r w:rsidR="004A4902">
        <w:rPr>
          <w:iCs/>
          <w:lang w:eastAsia="lt-LT"/>
        </w:rPr>
        <w:t xml:space="preserve"> vaistinio preparato įrašymo į tą pačią kainyno vaistinių preparatų grupę. Analogiška nuostata įtvirtinta ir Sutarties 4.5 punkte. Be to, ieškovė ir atsakovė Sutarties 4.6 punkte sulygo, kad Sutartyje nustatyta 2015 m.</w:t>
      </w:r>
      <w:r>
        <w:rPr>
          <w:iCs/>
          <w:lang w:eastAsia="lt-LT"/>
        </w:rPr>
        <w:t xml:space="preserve"> gegužės 1 d. – 2015 m. gruodžio 31 d., 2016 metų ir 2017 metų prognozuojama PSDF biudžeto išlaidų suma vaistui, o vėlesniems metams prognozuojama PSDF biudžeto </w:t>
      </w:r>
      <w:r w:rsidR="00034E44">
        <w:rPr>
          <w:iCs/>
          <w:lang w:eastAsia="lt-LT"/>
        </w:rPr>
        <w:t xml:space="preserve">vaisto </w:t>
      </w:r>
      <w:r>
        <w:rPr>
          <w:iCs/>
          <w:lang w:eastAsia="lt-LT"/>
        </w:rPr>
        <w:t xml:space="preserve">išlaidų suma bus nustatoma iš naujo. </w:t>
      </w:r>
      <w:r w:rsidR="004A4902">
        <w:rPr>
          <w:iCs/>
          <w:lang w:eastAsia="lt-LT"/>
        </w:rPr>
        <w:t xml:space="preserve">Taip pat apeliacinės instancijos teismas nustatė, kad nagrinėjamu atveju nėra ginčo, jog 2020 metais </w:t>
      </w:r>
      <w:proofErr w:type="spellStart"/>
      <w:r w:rsidR="004A4902">
        <w:rPr>
          <w:iCs/>
          <w:lang w:eastAsia="lt-LT"/>
        </w:rPr>
        <w:t>gener</w:t>
      </w:r>
      <w:r w:rsidR="001219A1">
        <w:rPr>
          <w:iCs/>
          <w:lang w:eastAsia="lt-LT"/>
        </w:rPr>
        <w:t>i</w:t>
      </w:r>
      <w:r w:rsidR="004A4902">
        <w:rPr>
          <w:iCs/>
          <w:lang w:eastAsia="lt-LT"/>
        </w:rPr>
        <w:t>nis</w:t>
      </w:r>
      <w:proofErr w:type="spellEnd"/>
      <w:r w:rsidR="004A4902">
        <w:rPr>
          <w:iCs/>
          <w:lang w:eastAsia="lt-LT"/>
        </w:rPr>
        <w:t xml:space="preserve"> vaistinis preparatas nebuvo įrašytas į tą pačią kainyno vaistinių preparatų grupę. Atsižvelg</w:t>
      </w:r>
      <w:r w:rsidR="00034E44">
        <w:rPr>
          <w:iCs/>
          <w:lang w:eastAsia="lt-LT"/>
        </w:rPr>
        <w:t>damas</w:t>
      </w:r>
      <w:r w:rsidR="004A4902">
        <w:rPr>
          <w:iCs/>
          <w:lang w:eastAsia="lt-LT"/>
        </w:rPr>
        <w:t xml:space="preserve"> į nustatytas aplinkybes, apeliacinės instancijos teismas konstatavo, kad Sutarties galiojimas 2020 metais nebuvo pasibaigęs.</w:t>
      </w:r>
      <w:r w:rsidR="004870B4">
        <w:rPr>
          <w:iCs/>
          <w:lang w:eastAsia="lt-LT"/>
        </w:rPr>
        <w:t xml:space="preserve"> </w:t>
      </w:r>
    </w:p>
    <w:p w14:paraId="088DA142" w14:textId="487934B3" w:rsidR="007D726D" w:rsidRPr="00310619" w:rsidRDefault="004870B4" w:rsidP="00CE70E2">
      <w:pPr>
        <w:numPr>
          <w:ilvl w:val="0"/>
          <w:numId w:val="1"/>
        </w:numPr>
        <w:spacing w:after="120" w:line="240" w:lineRule="auto"/>
        <w:ind w:left="357" w:hanging="357"/>
        <w:jc w:val="both"/>
        <w:rPr>
          <w:iCs/>
          <w:lang w:eastAsia="lt-LT"/>
        </w:rPr>
      </w:pPr>
      <w:r>
        <w:rPr>
          <w:iCs/>
          <w:lang w:eastAsia="lt-LT"/>
        </w:rPr>
        <w:t>Apeliacinės instancijos teismas kasacine tvarka skundžiamoje nutartyje</w:t>
      </w:r>
      <w:r w:rsidR="00CE70E2">
        <w:rPr>
          <w:iCs/>
          <w:lang w:eastAsia="lt-LT"/>
        </w:rPr>
        <w:t xml:space="preserve"> taip pat</w:t>
      </w:r>
      <w:r>
        <w:rPr>
          <w:iCs/>
          <w:lang w:eastAsia="lt-LT"/>
        </w:rPr>
        <w:t xml:space="preserve"> pažymėjo, kad</w:t>
      </w:r>
      <w:r w:rsidR="00034E44">
        <w:rPr>
          <w:iCs/>
          <w:lang w:eastAsia="lt-LT"/>
        </w:rPr>
        <w:t>,</w:t>
      </w:r>
      <w:r>
        <w:rPr>
          <w:iCs/>
          <w:lang w:eastAsia="lt-LT"/>
        </w:rPr>
        <w:t xml:space="preserve"> pagal Aprašo 4.3 punktą</w:t>
      </w:r>
      <w:r w:rsidR="00034E44">
        <w:rPr>
          <w:iCs/>
          <w:lang w:eastAsia="lt-LT"/>
        </w:rPr>
        <w:t>,</w:t>
      </w:r>
      <w:r>
        <w:rPr>
          <w:iCs/>
          <w:lang w:eastAsia="lt-LT"/>
        </w:rPr>
        <w:t xml:space="preserve"> gydymo prieinamumo gerinimo ir rizikos pasidalijimo sutartis sudaroma, jei vaistinis preparatas naujai įrašomas į Ligų ir kompensuojamųjų vaistų joms gydyti </w:t>
      </w:r>
      <w:r>
        <w:rPr>
          <w:iCs/>
          <w:lang w:eastAsia="lt-LT"/>
        </w:rPr>
        <w:lastRenderedPageBreak/>
        <w:t>sąrašą (A sąrašą) ir dėl jo įrašymo didėja PSDF biudžeto išlaidos. Apeliacinės instancijos teismas, atsižvelg</w:t>
      </w:r>
      <w:r w:rsidR="00034E44">
        <w:rPr>
          <w:iCs/>
          <w:lang w:eastAsia="lt-LT"/>
        </w:rPr>
        <w:t>damas</w:t>
      </w:r>
      <w:r>
        <w:rPr>
          <w:iCs/>
          <w:lang w:eastAsia="lt-LT"/>
        </w:rPr>
        <w:t xml:space="preserve"> į teisinį reguliavimą, konstatavo, kad vaistinio preparato įtraukimas į </w:t>
      </w:r>
      <w:r w:rsidRPr="00310619">
        <w:rPr>
          <w:iCs/>
          <w:lang w:eastAsia="lt-LT"/>
        </w:rPr>
        <w:t xml:space="preserve">kompensuojamųjų vaistų sąrašą yra tiesiogiai siejamas su sutarties dėl gydymo prieinamumo ir rizikos pasidalijimo sudarymu, t. y. Aprašo 16.1 punkte </w:t>
      </w:r>
      <w:proofErr w:type="spellStart"/>
      <w:r w:rsidRPr="00310619">
        <w:rPr>
          <w:iCs/>
          <w:lang w:eastAsia="lt-LT"/>
        </w:rPr>
        <w:t>eksplicitiškai</w:t>
      </w:r>
      <w:proofErr w:type="spellEnd"/>
      <w:r w:rsidRPr="00310619">
        <w:rPr>
          <w:iCs/>
          <w:lang w:eastAsia="lt-LT"/>
        </w:rPr>
        <w:t xml:space="preserve"> įtvirtintas reikalavimas sudaryti sutartį dėl jau įrašytų į kompensuojamųjų vaistų sąrašą vaistinių preparatų. Nagrinėjamu atveju apeliacinės instancijos teismas nustatė, kad </w:t>
      </w:r>
      <w:r w:rsidR="00ED37C5" w:rsidRPr="00310619">
        <w:rPr>
          <w:iCs/>
          <w:lang w:eastAsia="lt-LT"/>
        </w:rPr>
        <w:t xml:space="preserve">2020 metais atsakovės gaminamas vaistas </w:t>
      </w:r>
      <w:r w:rsidR="001219A1" w:rsidRPr="00310619">
        <w:rPr>
          <w:iCs/>
          <w:lang w:eastAsia="lt-LT"/>
        </w:rPr>
        <w:t>„</w:t>
      </w:r>
      <w:proofErr w:type="spellStart"/>
      <w:r w:rsidR="00ED37C5" w:rsidRPr="00310619">
        <w:rPr>
          <w:iCs/>
          <w:lang w:eastAsia="lt-LT"/>
        </w:rPr>
        <w:t>Ranexa</w:t>
      </w:r>
      <w:proofErr w:type="spellEnd"/>
      <w:r w:rsidR="001219A1" w:rsidRPr="00310619">
        <w:rPr>
          <w:iCs/>
          <w:lang w:eastAsia="lt-LT"/>
        </w:rPr>
        <w:t>“</w:t>
      </w:r>
      <w:r w:rsidR="00ED37C5" w:rsidRPr="00310619">
        <w:rPr>
          <w:iCs/>
          <w:lang w:eastAsia="lt-LT"/>
        </w:rPr>
        <w:t xml:space="preserve"> buvo kompensuojamųjų vaistų sąraše, todėl atsakovė turėjo pareigą sudaryti sutartį.</w:t>
      </w:r>
    </w:p>
    <w:p w14:paraId="77EBD785" w14:textId="6CE78819" w:rsidR="00310619" w:rsidRDefault="00ED37C5" w:rsidP="00310619">
      <w:pPr>
        <w:numPr>
          <w:ilvl w:val="0"/>
          <w:numId w:val="1"/>
        </w:numPr>
        <w:spacing w:after="120" w:line="240" w:lineRule="auto"/>
        <w:ind w:left="357" w:hanging="357"/>
        <w:jc w:val="both"/>
        <w:rPr>
          <w:iCs/>
          <w:lang w:eastAsia="lt-LT"/>
        </w:rPr>
      </w:pPr>
      <w:r w:rsidRPr="00310619">
        <w:rPr>
          <w:iCs/>
          <w:lang w:eastAsia="lt-LT"/>
        </w:rPr>
        <w:t xml:space="preserve">Teisėjų kolegija </w:t>
      </w:r>
      <w:r w:rsidR="00034E44">
        <w:rPr>
          <w:iCs/>
          <w:lang w:eastAsia="lt-LT"/>
        </w:rPr>
        <w:t>nu</w:t>
      </w:r>
      <w:r w:rsidRPr="00310619">
        <w:rPr>
          <w:iCs/>
          <w:lang w:eastAsia="lt-LT"/>
        </w:rPr>
        <w:t xml:space="preserve">sprendžia, kad bylą nagrinėjęs apeliacinės instancijos teismas </w:t>
      </w:r>
      <w:r w:rsidR="007D726D" w:rsidRPr="00310619">
        <w:rPr>
          <w:iCs/>
          <w:lang w:eastAsia="lt-LT"/>
        </w:rPr>
        <w:t xml:space="preserve">atskleidė bylos esmę, </w:t>
      </w:r>
      <w:r w:rsidR="001C2CED" w:rsidRPr="00310619">
        <w:rPr>
          <w:iCs/>
          <w:lang w:eastAsia="lt-LT"/>
        </w:rPr>
        <w:t xml:space="preserve">išanalizavo esminius nagrinėjamo ginčo aspektus, </w:t>
      </w:r>
      <w:r w:rsidRPr="00310619">
        <w:rPr>
          <w:iCs/>
          <w:lang w:eastAsia="lt-LT"/>
        </w:rPr>
        <w:t>motyvavo priimtą sprendimą atsakovės nurodomu Sutarties galiojimo klausimu. </w:t>
      </w:r>
      <w:r w:rsidR="007D726D" w:rsidRPr="00310619">
        <w:rPr>
          <w:iCs/>
          <w:lang w:eastAsia="lt-LT"/>
        </w:rPr>
        <w:t xml:space="preserve">Iš kasacine tvarka skundžiamos nutarties galima matyti teismo poziciją – 2015 metais sudaryta Sutartis 2020 metais buvo galiojanti ir nepasibaigusi, vaistas </w:t>
      </w:r>
      <w:r w:rsidR="00377C0F" w:rsidRPr="00310619">
        <w:rPr>
          <w:iCs/>
          <w:lang w:eastAsia="lt-LT"/>
        </w:rPr>
        <w:t>„</w:t>
      </w:r>
      <w:proofErr w:type="spellStart"/>
      <w:r w:rsidR="007D726D" w:rsidRPr="00310619">
        <w:rPr>
          <w:iCs/>
          <w:lang w:eastAsia="lt-LT"/>
        </w:rPr>
        <w:t>Ranexa</w:t>
      </w:r>
      <w:proofErr w:type="spellEnd"/>
      <w:r w:rsidR="00377C0F" w:rsidRPr="00310619">
        <w:rPr>
          <w:iCs/>
          <w:lang w:eastAsia="lt-LT"/>
        </w:rPr>
        <w:t>“</w:t>
      </w:r>
      <w:r w:rsidR="007D726D" w:rsidRPr="00310619">
        <w:rPr>
          <w:iCs/>
          <w:lang w:eastAsia="lt-LT"/>
        </w:rPr>
        <w:t xml:space="preserve"> 2020 metais vis dar buvo kompensavimo sistemoje, į kainyno tą pačią vaisto grupę nebuvo įrašytas </w:t>
      </w:r>
      <w:proofErr w:type="spellStart"/>
      <w:r w:rsidR="007D726D" w:rsidRPr="00310619">
        <w:rPr>
          <w:iCs/>
          <w:lang w:eastAsia="lt-LT"/>
        </w:rPr>
        <w:t>gener</w:t>
      </w:r>
      <w:r w:rsidR="001219A1" w:rsidRPr="00310619">
        <w:rPr>
          <w:iCs/>
          <w:lang w:eastAsia="lt-LT"/>
        </w:rPr>
        <w:t>i</w:t>
      </w:r>
      <w:r w:rsidR="007D726D" w:rsidRPr="00310619">
        <w:rPr>
          <w:iCs/>
          <w:lang w:eastAsia="lt-LT"/>
        </w:rPr>
        <w:t>nis</w:t>
      </w:r>
      <w:proofErr w:type="spellEnd"/>
      <w:r w:rsidR="007D726D" w:rsidRPr="00310619">
        <w:rPr>
          <w:iCs/>
          <w:lang w:eastAsia="lt-LT"/>
        </w:rPr>
        <w:t xml:space="preserve"> vaistas, </w:t>
      </w:r>
      <w:r w:rsidR="007D726D" w:rsidRPr="00310619">
        <w:rPr>
          <w:iCs/>
          <w:color w:val="000000" w:themeColor="text1"/>
          <w:lang w:eastAsia="lt-LT"/>
        </w:rPr>
        <w:t xml:space="preserve">su kurio įrašymu </w:t>
      </w:r>
      <w:r w:rsidR="007D726D" w:rsidRPr="00310619">
        <w:rPr>
          <w:iCs/>
          <w:lang w:eastAsia="lt-LT"/>
        </w:rPr>
        <w:t xml:space="preserve">siejamas Sutarties galiojimo pasibaigimas, todėl atsakovei kilo pareiga pasirašyti sutartį dėl </w:t>
      </w:r>
      <w:r w:rsidR="007D726D" w:rsidRPr="00310619">
        <w:rPr>
          <w:bCs/>
          <w:iCs/>
          <w:lang w:eastAsia="lt-LT" w:bidi="lt-LT"/>
        </w:rPr>
        <w:t xml:space="preserve">2020 metų prognozuojamų PSDF biudžeto išlaidų vaistui </w:t>
      </w:r>
      <w:r w:rsidR="00377C0F" w:rsidRPr="00310619">
        <w:rPr>
          <w:bCs/>
          <w:iCs/>
          <w:lang w:eastAsia="lt-LT" w:bidi="lt-LT"/>
        </w:rPr>
        <w:t>„</w:t>
      </w:r>
      <w:proofErr w:type="spellStart"/>
      <w:r w:rsidR="007D726D" w:rsidRPr="00310619">
        <w:rPr>
          <w:bCs/>
          <w:iCs/>
          <w:lang w:eastAsia="lt-LT" w:bidi="lt-LT"/>
        </w:rPr>
        <w:t>Ranexa</w:t>
      </w:r>
      <w:proofErr w:type="spellEnd"/>
      <w:r w:rsidR="00377C0F" w:rsidRPr="00310619">
        <w:rPr>
          <w:bCs/>
          <w:iCs/>
          <w:lang w:eastAsia="lt-LT" w:bidi="lt-LT"/>
        </w:rPr>
        <w:t>“</w:t>
      </w:r>
      <w:r w:rsidR="007D726D" w:rsidRPr="00310619">
        <w:rPr>
          <w:bCs/>
          <w:iCs/>
          <w:lang w:eastAsia="lt-LT" w:bidi="lt-LT"/>
        </w:rPr>
        <w:t>.</w:t>
      </w:r>
      <w:r w:rsidR="00F82413" w:rsidRPr="00310619">
        <w:rPr>
          <w:iCs/>
          <w:lang w:eastAsia="lt-LT"/>
        </w:rPr>
        <w:t xml:space="preserve"> </w:t>
      </w:r>
      <w:r w:rsidR="00F82413" w:rsidRPr="00310619">
        <w:rPr>
          <w:bCs/>
          <w:iCs/>
          <w:lang w:eastAsia="lt-LT" w:bidi="lt-LT"/>
        </w:rPr>
        <w:t>Teisėjų kolegijos vertinimu, šiuo atveju visa bylos medžiaga leidžia daryti išvadą apie tai, kokiais teisiniais argumentais vadovaudamasis teismas atmetė apeliacinį skundą, todėl vien tai, kad, atsakovės manymu, apeliacinės instancijos teismo nutarties motyvai nėra pakankamai išsamūs, nesudaro pagrindo konstatuoti, jog apeliacinės instancijos teismas, priimdamas skundžiamą nutartį, pažeidė proces</w:t>
      </w:r>
      <w:r w:rsidR="001219A1" w:rsidRPr="00310619">
        <w:rPr>
          <w:bCs/>
          <w:iCs/>
          <w:lang w:eastAsia="lt-LT" w:bidi="lt-LT"/>
        </w:rPr>
        <w:t>o</w:t>
      </w:r>
      <w:r w:rsidR="00F82413" w:rsidRPr="00310619">
        <w:rPr>
          <w:bCs/>
          <w:iCs/>
          <w:lang w:eastAsia="lt-LT" w:bidi="lt-LT"/>
        </w:rPr>
        <w:t xml:space="preserve"> teisės normų, reglamentuojančių teismo pareigą motyvuoti procesinius sprendimus, reikalavimus.</w:t>
      </w:r>
    </w:p>
    <w:p w14:paraId="3D0DAAD4" w14:textId="6F973B18" w:rsidR="00CE70E2" w:rsidRPr="00C7287B" w:rsidRDefault="00CE70E2" w:rsidP="00310619">
      <w:pPr>
        <w:numPr>
          <w:ilvl w:val="0"/>
          <w:numId w:val="1"/>
        </w:numPr>
        <w:spacing w:after="120" w:line="240" w:lineRule="auto"/>
        <w:ind w:left="357" w:hanging="357"/>
        <w:jc w:val="both"/>
        <w:rPr>
          <w:iCs/>
          <w:lang w:eastAsia="lt-LT"/>
        </w:rPr>
      </w:pPr>
      <w:r w:rsidRPr="00C7287B">
        <w:rPr>
          <w:bCs/>
          <w:iCs/>
          <w:lang w:eastAsia="lt-LT" w:bidi="lt-LT"/>
        </w:rPr>
        <w:t xml:space="preserve">Atsakovės teigimu, apeliacinės instancijos teismas nepasisakė dėl jos apeliaciniame skunde pateiktų argumentų, kodėl Sutartis negali galioti amžinai. </w:t>
      </w:r>
      <w:r w:rsidR="00114A65" w:rsidRPr="00C7287B">
        <w:rPr>
          <w:bCs/>
          <w:iCs/>
          <w:lang w:eastAsia="lt-LT" w:bidi="lt-LT"/>
        </w:rPr>
        <w:t>Teisėjų kolegija pa</w:t>
      </w:r>
      <w:r w:rsidR="00034E44">
        <w:rPr>
          <w:bCs/>
          <w:iCs/>
          <w:lang w:eastAsia="lt-LT" w:bidi="lt-LT"/>
        </w:rPr>
        <w:t>brėžia</w:t>
      </w:r>
      <w:r w:rsidR="00114A65" w:rsidRPr="00C7287B">
        <w:rPr>
          <w:bCs/>
          <w:iCs/>
          <w:lang w:eastAsia="lt-LT" w:bidi="lt-LT"/>
        </w:rPr>
        <w:t>, kad atsakovė šiuo aspektu ginčijo pirmosios instancijos teismo</w:t>
      </w:r>
      <w:r w:rsidR="00310619" w:rsidRPr="00C7287B">
        <w:rPr>
          <w:bCs/>
          <w:iCs/>
          <w:lang w:eastAsia="lt-LT" w:bidi="lt-LT"/>
        </w:rPr>
        <w:t xml:space="preserve"> išvadą, jog</w:t>
      </w:r>
      <w:r w:rsidR="00C7287B">
        <w:rPr>
          <w:bCs/>
          <w:iCs/>
          <w:lang w:eastAsia="lt-LT" w:bidi="lt-LT"/>
        </w:rPr>
        <w:t xml:space="preserve"> </w:t>
      </w:r>
      <w:r w:rsidR="00114A65" w:rsidRPr="00C7287B">
        <w:rPr>
          <w:bCs/>
          <w:iCs/>
          <w:lang w:eastAsia="lt-LT" w:bidi="lt-LT"/>
        </w:rPr>
        <w:t xml:space="preserve">pagal teisinį reguliavimą Sutartis gali būti nutraukiama ir anksčiau, nei įrašomas </w:t>
      </w:r>
      <w:proofErr w:type="spellStart"/>
      <w:r w:rsidR="00114A65" w:rsidRPr="00C7287B">
        <w:rPr>
          <w:bCs/>
          <w:iCs/>
          <w:lang w:eastAsia="lt-LT" w:bidi="lt-LT"/>
        </w:rPr>
        <w:t>generinis</w:t>
      </w:r>
      <w:proofErr w:type="spellEnd"/>
      <w:r w:rsidR="00114A65" w:rsidRPr="00C7287B">
        <w:rPr>
          <w:bCs/>
          <w:iCs/>
          <w:lang w:eastAsia="lt-LT" w:bidi="lt-LT"/>
        </w:rPr>
        <w:t xml:space="preserve"> vaistinis preparatas. </w:t>
      </w:r>
      <w:r w:rsidR="00310619" w:rsidRPr="00C7287B">
        <w:rPr>
          <w:bCs/>
          <w:iCs/>
          <w:lang w:eastAsia="lt-LT" w:bidi="lt-LT"/>
        </w:rPr>
        <w:t xml:space="preserve">Pirmosios instancijos teismo vertinimu, </w:t>
      </w:r>
      <w:r w:rsidR="00114A65" w:rsidRPr="00C7287B">
        <w:rPr>
          <w:bCs/>
          <w:iCs/>
          <w:lang w:eastAsia="lt-LT" w:bidi="lt-LT"/>
        </w:rPr>
        <w:t xml:space="preserve">Aprašo 17 punkte nustatyta, kad kai VLK įvertinus sutarties, galiojusios ne trumpiau negu 3 metus, galiojimo tikslingumą, nustatoma, kad sutartis nebeatitinka Aprašo 4 punkte nurodytų sąlygų, dėl kurių buvo sudaryta, tokiu atveju siūloma sutartį nutraukti abipusiu susitarimu anksčiau, nei įrašomas </w:t>
      </w:r>
      <w:proofErr w:type="spellStart"/>
      <w:r w:rsidR="00114A65" w:rsidRPr="00C7287B">
        <w:rPr>
          <w:bCs/>
          <w:iCs/>
          <w:lang w:eastAsia="lt-LT" w:bidi="lt-LT"/>
        </w:rPr>
        <w:t>generinis</w:t>
      </w:r>
      <w:proofErr w:type="spellEnd"/>
      <w:r w:rsidR="00114A65" w:rsidRPr="00C7287B">
        <w:rPr>
          <w:bCs/>
          <w:iCs/>
          <w:lang w:eastAsia="lt-LT" w:bidi="lt-LT"/>
        </w:rPr>
        <w:t xml:space="preserve"> vaistinis preparatas. </w:t>
      </w:r>
      <w:r w:rsidR="00310619" w:rsidRPr="00C7287B">
        <w:rPr>
          <w:bCs/>
          <w:iCs/>
          <w:lang w:eastAsia="lt-LT" w:bidi="lt-LT"/>
        </w:rPr>
        <w:t>Atsakovės nuomone, Aprašo 17 punkto nuostata nėra tinkamas pagrindas nutraukti Sutartį.</w:t>
      </w:r>
      <w:r w:rsidR="00310619" w:rsidRPr="00C7287B">
        <w:rPr>
          <w:iCs/>
          <w:color w:val="FF0000"/>
          <w:lang w:eastAsia="lt-LT"/>
        </w:rPr>
        <w:t xml:space="preserve"> </w:t>
      </w:r>
      <w:r w:rsidRPr="00C7287B">
        <w:rPr>
          <w:bCs/>
          <w:iCs/>
          <w:lang w:eastAsia="lt-LT" w:bidi="lt-LT"/>
        </w:rPr>
        <w:t xml:space="preserve">Teisėjų kolegija </w:t>
      </w:r>
      <w:r w:rsidR="00AC3C4A">
        <w:rPr>
          <w:bCs/>
          <w:iCs/>
          <w:lang w:eastAsia="lt-LT" w:bidi="lt-LT"/>
        </w:rPr>
        <w:t>akcentuoja</w:t>
      </w:r>
      <w:r w:rsidRPr="00C7287B">
        <w:rPr>
          <w:bCs/>
          <w:iCs/>
          <w:lang w:eastAsia="lt-LT" w:bidi="lt-LT"/>
        </w:rPr>
        <w:t xml:space="preserve">, kad nors apeliacinės instancijos teismas šiuo klausimu aiškiai nepasisakė, tačiau tai savaime nesudaro pagrindo pripažinti skundžiamos nutarties nemotyvuota, atsižvelgiant į tai, jog </w:t>
      </w:r>
      <w:r w:rsidR="00310619" w:rsidRPr="00C7287B">
        <w:rPr>
          <w:bCs/>
          <w:iCs/>
          <w:lang w:eastAsia="lt-LT" w:bidi="lt-LT"/>
        </w:rPr>
        <w:t>byloje tarp šalių nekilo ginčo dėl galimybės nutraukti Sutartį.</w:t>
      </w:r>
    </w:p>
    <w:p w14:paraId="0C7C049A" w14:textId="65D60F53" w:rsidR="00097545" w:rsidRDefault="0027517C" w:rsidP="00097545">
      <w:pPr>
        <w:numPr>
          <w:ilvl w:val="0"/>
          <w:numId w:val="1"/>
        </w:numPr>
        <w:spacing w:after="120" w:line="240" w:lineRule="auto"/>
        <w:ind w:left="357" w:hanging="357"/>
        <w:jc w:val="both"/>
        <w:rPr>
          <w:iCs/>
          <w:lang w:eastAsia="lt-LT"/>
        </w:rPr>
      </w:pPr>
      <w:r w:rsidRPr="0027517C">
        <w:rPr>
          <w:iCs/>
          <w:lang w:eastAsia="lt-LT"/>
        </w:rPr>
        <w:t xml:space="preserve">Teisėjų kolegija, apibendrindama išdėstytus argumentus, </w:t>
      </w:r>
      <w:r w:rsidR="00034E44">
        <w:rPr>
          <w:iCs/>
          <w:lang w:eastAsia="lt-LT"/>
        </w:rPr>
        <w:t>nu</w:t>
      </w:r>
      <w:r w:rsidRPr="0027517C">
        <w:rPr>
          <w:iCs/>
          <w:lang w:eastAsia="lt-LT"/>
        </w:rPr>
        <w:t>sprendžia, kad kasacinio skundo argumentai nesudaro pagrindo panaikinti arba pakeisti apeliacinės instancijos teismo nutartį (</w:t>
      </w:r>
      <w:bookmarkStart w:id="16" w:name="n64cf1b45-0573-48b8-befd-d8b6cd11df0c"/>
      <w:r w:rsidRPr="0027517C">
        <w:rPr>
          <w:iCs/>
          <w:lang w:eastAsia="lt-LT"/>
        </w:rPr>
        <w:fldChar w:fldCharType="begin"/>
      </w:r>
      <w:r w:rsidRPr="0027517C">
        <w:rPr>
          <w:iCs/>
          <w:lang w:eastAsia="lt-LT"/>
        </w:rPr>
        <w:instrText>HYPERLINK "https://www.infolex.lt/ta/77554" \o "Lietuvos Respublikos civilinio proceso kodeksas" \t "_blank"</w:instrText>
      </w:r>
      <w:r w:rsidRPr="0027517C">
        <w:rPr>
          <w:iCs/>
          <w:lang w:eastAsia="lt-LT"/>
        </w:rPr>
      </w:r>
      <w:r w:rsidRPr="0027517C">
        <w:rPr>
          <w:iCs/>
          <w:lang w:eastAsia="lt-LT"/>
        </w:rPr>
        <w:fldChar w:fldCharType="separate"/>
      </w:r>
      <w:r w:rsidRPr="0027517C">
        <w:rPr>
          <w:lang w:eastAsia="lt-LT"/>
        </w:rPr>
        <w:t>CPK</w:t>
      </w:r>
      <w:r w:rsidRPr="0027517C">
        <w:rPr>
          <w:iCs/>
          <w:lang w:eastAsia="lt-LT"/>
        </w:rPr>
        <w:fldChar w:fldCharType="end"/>
      </w:r>
      <w:bookmarkStart w:id="17" w:name="pn64cf1b45-0573-48b8-befd-d8b6cd11df0c"/>
      <w:bookmarkEnd w:id="16"/>
      <w:bookmarkEnd w:id="17"/>
      <w:r w:rsidRPr="0027517C">
        <w:rPr>
          <w:iCs/>
          <w:lang w:eastAsia="lt-LT"/>
        </w:rPr>
        <w:t> </w:t>
      </w:r>
      <w:bookmarkStart w:id="18" w:name="n679b5274-c707-42ea-8fa2-9e7dc2974a27"/>
      <w:r w:rsidRPr="0027517C">
        <w:rPr>
          <w:iCs/>
          <w:lang w:eastAsia="lt-LT"/>
        </w:rPr>
        <w:fldChar w:fldCharType="begin"/>
      </w:r>
      <w:r w:rsidRPr="0027517C">
        <w:rPr>
          <w:iCs/>
          <w:lang w:eastAsia="lt-LT"/>
        </w:rPr>
        <w:instrText>HYPERLINK "https://www.infolex.lt/tp/814432" \o "Kasacinio teismo teisės" \t "_blank"</w:instrText>
      </w:r>
      <w:r w:rsidRPr="0027517C">
        <w:rPr>
          <w:iCs/>
          <w:lang w:eastAsia="lt-LT"/>
        </w:rPr>
      </w:r>
      <w:r w:rsidRPr="0027517C">
        <w:rPr>
          <w:iCs/>
          <w:lang w:eastAsia="lt-LT"/>
        </w:rPr>
        <w:fldChar w:fldCharType="separate"/>
      </w:r>
      <w:r w:rsidRPr="0027517C">
        <w:rPr>
          <w:lang w:eastAsia="lt-LT"/>
        </w:rPr>
        <w:t>359</w:t>
      </w:r>
      <w:r w:rsidRPr="0027517C">
        <w:rPr>
          <w:iCs/>
          <w:lang w:eastAsia="lt-LT"/>
        </w:rPr>
        <w:fldChar w:fldCharType="end"/>
      </w:r>
      <w:bookmarkStart w:id="19" w:name="pn679b5274-c707-42ea-8fa2-9e7dc2974a27"/>
      <w:bookmarkEnd w:id="18"/>
      <w:bookmarkEnd w:id="19"/>
      <w:r w:rsidRPr="0027517C">
        <w:rPr>
          <w:iCs/>
          <w:lang w:eastAsia="lt-LT"/>
        </w:rPr>
        <w:t> straipsnio 3 dalis)</w:t>
      </w:r>
      <w:r>
        <w:rPr>
          <w:iCs/>
          <w:lang w:eastAsia="lt-LT"/>
        </w:rPr>
        <w:t>.</w:t>
      </w:r>
    </w:p>
    <w:p w14:paraId="35A40124" w14:textId="77777777" w:rsidR="009E420E" w:rsidRPr="001C2CED" w:rsidRDefault="009E420E" w:rsidP="009E420E">
      <w:pPr>
        <w:spacing w:after="120" w:line="240" w:lineRule="auto"/>
        <w:ind w:left="357"/>
        <w:jc w:val="both"/>
        <w:rPr>
          <w:iCs/>
          <w:lang w:eastAsia="lt-LT"/>
        </w:rPr>
      </w:pPr>
    </w:p>
    <w:p w14:paraId="3F627ED5" w14:textId="71C6E73E" w:rsidR="00F82413" w:rsidRPr="00F82413" w:rsidRDefault="00F82413" w:rsidP="00F82413">
      <w:pPr>
        <w:pStyle w:val="Sraopastraipa"/>
        <w:spacing w:after="120" w:line="240" w:lineRule="auto"/>
        <w:jc w:val="both"/>
        <w:rPr>
          <w:rFonts w:eastAsia="Times New Roman" w:cs="Times New Roman"/>
          <w:i/>
          <w:iCs/>
          <w:szCs w:val="24"/>
          <w:lang w:eastAsia="lt-LT"/>
        </w:rPr>
      </w:pPr>
      <w:bookmarkStart w:id="20" w:name="_Hlk142046387"/>
      <w:r w:rsidRPr="00F82413">
        <w:rPr>
          <w:rFonts w:eastAsia="Times New Roman" w:cs="Times New Roman"/>
          <w:i/>
          <w:iCs/>
          <w:szCs w:val="24"/>
          <w:lang w:eastAsia="lt-LT"/>
        </w:rPr>
        <w:t>Dėl teismo nutartimi patvirtintos taikos sutarties</w:t>
      </w:r>
      <w:r w:rsidR="00FB336D">
        <w:rPr>
          <w:rFonts w:eastAsia="Times New Roman" w:cs="Times New Roman"/>
          <w:i/>
          <w:iCs/>
          <w:szCs w:val="24"/>
          <w:lang w:eastAsia="lt-LT"/>
        </w:rPr>
        <w:t xml:space="preserve"> </w:t>
      </w:r>
      <w:r w:rsidR="00FB336D" w:rsidRPr="00A94356">
        <w:rPr>
          <w:rFonts w:eastAsia="Times New Roman" w:cs="Times New Roman"/>
          <w:i/>
          <w:iCs/>
          <w:szCs w:val="24"/>
          <w:lang w:eastAsia="lt-LT"/>
        </w:rPr>
        <w:t>teisinės galios</w:t>
      </w:r>
    </w:p>
    <w:p w14:paraId="1D448391" w14:textId="77777777" w:rsidR="009E6E68" w:rsidRDefault="009E6E68" w:rsidP="009E6E68">
      <w:pPr>
        <w:pStyle w:val="Sraopastraipa"/>
        <w:spacing w:after="120" w:line="240" w:lineRule="auto"/>
        <w:ind w:left="284"/>
        <w:jc w:val="both"/>
        <w:rPr>
          <w:rFonts w:eastAsia="Times New Roman" w:cs="Times New Roman"/>
          <w:iCs/>
          <w:szCs w:val="24"/>
          <w:lang w:eastAsia="lt-LT"/>
        </w:rPr>
      </w:pPr>
    </w:p>
    <w:p w14:paraId="7F3B99BC" w14:textId="379920DA" w:rsidR="00F82413" w:rsidRPr="00C314E2" w:rsidRDefault="00F82413" w:rsidP="00C314E2">
      <w:pPr>
        <w:numPr>
          <w:ilvl w:val="0"/>
          <w:numId w:val="1"/>
        </w:numPr>
        <w:spacing w:after="120" w:line="240" w:lineRule="auto"/>
        <w:ind w:left="357" w:hanging="357"/>
        <w:jc w:val="both"/>
        <w:rPr>
          <w:bCs/>
          <w:iCs/>
          <w:lang w:eastAsia="lt-LT" w:bidi="lt-LT"/>
        </w:rPr>
      </w:pPr>
      <w:r>
        <w:rPr>
          <w:rFonts w:eastAsia="Times New Roman" w:cs="Times New Roman"/>
          <w:iCs/>
          <w:szCs w:val="24"/>
          <w:lang w:eastAsia="lt-LT"/>
        </w:rPr>
        <w:t xml:space="preserve"> Atsakovė kasaciniame skunde nurodo, kad skundžiama nutartimi apeliacinės instancijos teismas nukrypo nuo kasacinio teismo praktikos, susijusios su šalių </w:t>
      </w:r>
      <w:r w:rsidRPr="00A94356">
        <w:rPr>
          <w:rFonts w:eastAsia="Times New Roman" w:cs="Times New Roman"/>
          <w:iCs/>
          <w:szCs w:val="24"/>
          <w:lang w:eastAsia="lt-LT"/>
        </w:rPr>
        <w:t xml:space="preserve">sudarytos </w:t>
      </w:r>
      <w:r w:rsidR="00A94356" w:rsidRPr="00A94356">
        <w:rPr>
          <w:rFonts w:eastAsia="Times New Roman" w:cs="Times New Roman"/>
          <w:iCs/>
          <w:szCs w:val="24"/>
          <w:lang w:eastAsia="lt-LT"/>
        </w:rPr>
        <w:t>T</w:t>
      </w:r>
      <w:r w:rsidRPr="00A94356">
        <w:rPr>
          <w:rFonts w:eastAsia="Times New Roman" w:cs="Times New Roman"/>
          <w:iCs/>
          <w:szCs w:val="24"/>
          <w:lang w:eastAsia="lt-LT"/>
        </w:rPr>
        <w:t>aikos sutarties ribomis (</w:t>
      </w:r>
      <w:r w:rsidRPr="00A94356">
        <w:rPr>
          <w:bCs/>
          <w:iCs/>
          <w:lang w:eastAsia="lt-LT" w:bidi="lt-LT"/>
        </w:rPr>
        <w:t>jos turiniu)</w:t>
      </w:r>
      <w:r w:rsidR="00C314E2" w:rsidRPr="00A94356">
        <w:rPr>
          <w:bCs/>
          <w:iCs/>
          <w:lang w:eastAsia="lt-LT" w:bidi="lt-LT"/>
        </w:rPr>
        <w:t xml:space="preserve">, </w:t>
      </w:r>
      <w:r w:rsidRPr="00A94356">
        <w:rPr>
          <w:bCs/>
          <w:iCs/>
          <w:lang w:eastAsia="lt-LT" w:bidi="lt-LT"/>
        </w:rPr>
        <w:t>konstatavo aplinkybes, dėl kurių šalys Taikos sutartyje niekada</w:t>
      </w:r>
      <w:r w:rsidRPr="00C314E2">
        <w:rPr>
          <w:bCs/>
          <w:iCs/>
          <w:lang w:eastAsia="lt-LT" w:bidi="lt-LT"/>
        </w:rPr>
        <w:t xml:space="preserve"> nesitarė.</w:t>
      </w:r>
      <w:r w:rsidR="00432A70">
        <w:rPr>
          <w:bCs/>
          <w:iCs/>
          <w:lang w:eastAsia="lt-LT" w:bidi="lt-LT"/>
        </w:rPr>
        <w:t xml:space="preserve"> Taikos sutartimi atsakovė ir ieškovė, be kita ko, susitarė, kad visi įsipareigojimai pagal Sutartį yra pasibaigę.</w:t>
      </w:r>
      <w:r w:rsidRPr="00C314E2">
        <w:rPr>
          <w:bCs/>
          <w:iCs/>
          <w:lang w:eastAsia="lt-LT" w:bidi="lt-LT"/>
        </w:rPr>
        <w:t xml:space="preserve"> </w:t>
      </w:r>
      <w:r w:rsidR="00C314E2">
        <w:rPr>
          <w:bCs/>
          <w:iCs/>
          <w:lang w:eastAsia="lt-LT" w:bidi="lt-LT"/>
        </w:rPr>
        <w:t>Taip pat apeliacinės instancijos teismas nukrypo nuo kasacinio teismo praktikos</w:t>
      </w:r>
      <w:r w:rsidR="00A43F93">
        <w:rPr>
          <w:bCs/>
          <w:iCs/>
          <w:lang w:eastAsia="lt-LT" w:bidi="lt-LT"/>
        </w:rPr>
        <w:t xml:space="preserve"> dėl teismo nutartimi patvirtintos taikos sutarties įrodomosios ir </w:t>
      </w:r>
      <w:proofErr w:type="spellStart"/>
      <w:r w:rsidR="00A43F93">
        <w:rPr>
          <w:bCs/>
          <w:iCs/>
          <w:lang w:eastAsia="lt-LT" w:bidi="lt-LT"/>
        </w:rPr>
        <w:t>prejudicinės</w:t>
      </w:r>
      <w:proofErr w:type="spellEnd"/>
      <w:r w:rsidR="00A43F93">
        <w:rPr>
          <w:bCs/>
          <w:iCs/>
          <w:lang w:eastAsia="lt-LT" w:bidi="lt-LT"/>
        </w:rPr>
        <w:t xml:space="preserve"> galios.</w:t>
      </w:r>
    </w:p>
    <w:p w14:paraId="6433E34A" w14:textId="538D4122" w:rsidR="00C314E2" w:rsidRDefault="00000000" w:rsidP="00C314E2">
      <w:pPr>
        <w:numPr>
          <w:ilvl w:val="0"/>
          <w:numId w:val="1"/>
        </w:numPr>
        <w:spacing w:after="120" w:line="240" w:lineRule="auto"/>
        <w:ind w:left="357" w:hanging="357"/>
        <w:jc w:val="both"/>
        <w:rPr>
          <w:bCs/>
          <w:iCs/>
          <w:lang w:eastAsia="lt-LT" w:bidi="lt-LT"/>
        </w:rPr>
      </w:pPr>
      <w:hyperlink r:id="rId9" w:tgtFrame="_blank" w:tooltip="Lietuvos Respublikos civilinio proceso kodeksas" w:history="1">
        <w:r w:rsidR="00C314E2" w:rsidRPr="00C314E2">
          <w:rPr>
            <w:lang w:eastAsia="lt-LT" w:bidi="lt-LT"/>
          </w:rPr>
          <w:t>CPK</w:t>
        </w:r>
      </w:hyperlink>
      <w:r w:rsidR="00C314E2" w:rsidRPr="00C314E2">
        <w:rPr>
          <w:bCs/>
          <w:iCs/>
          <w:lang w:eastAsia="lt-LT" w:bidi="lt-LT"/>
        </w:rPr>
        <w:t> </w:t>
      </w:r>
      <w:hyperlink r:id="rId10" w:tgtFrame="_blank" w:tooltip="Šalių teisės ir pareigos" w:history="1">
        <w:r w:rsidR="00C314E2" w:rsidRPr="00C314E2">
          <w:rPr>
            <w:lang w:eastAsia="lt-LT" w:bidi="lt-LT"/>
          </w:rPr>
          <w:t>42</w:t>
        </w:r>
      </w:hyperlink>
      <w:r w:rsidR="00C314E2" w:rsidRPr="00C314E2">
        <w:rPr>
          <w:bCs/>
          <w:iCs/>
          <w:lang w:eastAsia="lt-LT" w:bidi="lt-LT"/>
        </w:rPr>
        <w:t> straipsnio 1 dalyje nustatyta, kad šalys gali užbaigti bylą taikos sutartimi. Teismas netvirtina šalių taikos sutarties, jeigu jos patvirtinimas prieštarauja imperatyviosioms įstatymų normoms ar viešajam interesui (šio straipsnio 2 dalis)</w:t>
      </w:r>
      <w:r w:rsidR="00C314E2">
        <w:rPr>
          <w:bCs/>
          <w:iCs/>
          <w:lang w:eastAsia="lt-LT" w:bidi="lt-LT"/>
        </w:rPr>
        <w:t>.</w:t>
      </w:r>
    </w:p>
    <w:p w14:paraId="0001F318" w14:textId="28D5563F" w:rsidR="00C314E2" w:rsidRDefault="00C314E2" w:rsidP="00C314E2">
      <w:pPr>
        <w:numPr>
          <w:ilvl w:val="0"/>
          <w:numId w:val="1"/>
        </w:numPr>
        <w:spacing w:after="120" w:line="240" w:lineRule="auto"/>
        <w:ind w:left="357" w:hanging="357"/>
        <w:jc w:val="both"/>
        <w:rPr>
          <w:bCs/>
          <w:iCs/>
          <w:lang w:eastAsia="lt-LT" w:bidi="lt-LT"/>
        </w:rPr>
      </w:pPr>
      <w:r w:rsidRPr="00C314E2">
        <w:rPr>
          <w:bCs/>
          <w:iCs/>
          <w:lang w:eastAsia="lt-LT" w:bidi="lt-LT"/>
        </w:rPr>
        <w:lastRenderedPageBreak/>
        <w:t>Įstatyme taikos sutartis apibrėžta kaip šalių susitarimas, kuriuo jos tarpusavio nuolaidomis išsprendžia kilusį teisminį ginčą, užkerta kelią kilti teisminiam ginčui ateityje, išsprendžia teismo sprendimo įvykdymo klausimą arba kitus ginčytinus klausimus (</w:t>
      </w:r>
      <w:bookmarkStart w:id="21" w:name="n98dd3e86-54c9-4a6b-8e2c-f601953a6b9c"/>
      <w:r w:rsidRPr="00C314E2">
        <w:rPr>
          <w:bCs/>
          <w:iCs/>
          <w:lang w:eastAsia="lt-LT" w:bidi="lt-LT"/>
        </w:rPr>
        <w:fldChar w:fldCharType="begin"/>
      </w:r>
      <w:r w:rsidRPr="00C314E2">
        <w:rPr>
          <w:bCs/>
          <w:iCs/>
          <w:lang w:eastAsia="lt-LT" w:bidi="lt-LT"/>
        </w:rPr>
        <w:instrText>HYPERLINK "https://www.infolex.lt/ta/12755" \o "Lietuvos Respublikos civilinis kodeksas. Šeštoji knyga. Prievolių teisė" \t "_blank"</w:instrText>
      </w:r>
      <w:r w:rsidRPr="00C314E2">
        <w:rPr>
          <w:bCs/>
          <w:iCs/>
          <w:lang w:eastAsia="lt-LT" w:bidi="lt-LT"/>
        </w:rPr>
      </w:r>
      <w:r w:rsidRPr="00C314E2">
        <w:rPr>
          <w:bCs/>
          <w:iCs/>
          <w:lang w:eastAsia="lt-LT" w:bidi="lt-LT"/>
        </w:rPr>
        <w:fldChar w:fldCharType="separate"/>
      </w:r>
      <w:r w:rsidRPr="00C314E2">
        <w:rPr>
          <w:lang w:eastAsia="lt-LT" w:bidi="lt-LT"/>
        </w:rPr>
        <w:t>CK</w:t>
      </w:r>
      <w:r w:rsidRPr="00C314E2">
        <w:rPr>
          <w:bCs/>
          <w:iCs/>
          <w:lang w:eastAsia="lt-LT" w:bidi="lt-LT"/>
        </w:rPr>
        <w:fldChar w:fldCharType="end"/>
      </w:r>
      <w:bookmarkStart w:id="22" w:name="pn98dd3e86-54c9-4a6b-8e2c-f601953a6b9c"/>
      <w:bookmarkEnd w:id="21"/>
      <w:bookmarkEnd w:id="22"/>
      <w:r w:rsidRPr="00C314E2">
        <w:rPr>
          <w:bCs/>
          <w:iCs/>
          <w:lang w:eastAsia="lt-LT" w:bidi="lt-LT"/>
        </w:rPr>
        <w:t> </w:t>
      </w:r>
      <w:bookmarkStart w:id="23" w:name="n644ae6ab-744d-4b78-a57f-22eff12faf54"/>
      <w:r w:rsidRPr="00C314E2">
        <w:rPr>
          <w:bCs/>
          <w:iCs/>
          <w:lang w:eastAsia="lt-LT" w:bidi="lt-LT"/>
        </w:rPr>
        <w:fldChar w:fldCharType="begin"/>
      </w:r>
      <w:r w:rsidRPr="00C314E2">
        <w:rPr>
          <w:bCs/>
          <w:iCs/>
          <w:lang w:eastAsia="lt-LT" w:bidi="lt-LT"/>
        </w:rPr>
        <w:instrText>HYPERLINK "https://www.infolex.lt/tp/1937370" \o "Taikos sutarties samprata" \t "_blank"</w:instrText>
      </w:r>
      <w:r w:rsidRPr="00C314E2">
        <w:rPr>
          <w:bCs/>
          <w:iCs/>
          <w:lang w:eastAsia="lt-LT" w:bidi="lt-LT"/>
        </w:rPr>
      </w:r>
      <w:r w:rsidRPr="00C314E2">
        <w:rPr>
          <w:bCs/>
          <w:iCs/>
          <w:lang w:eastAsia="lt-LT" w:bidi="lt-LT"/>
        </w:rPr>
        <w:fldChar w:fldCharType="separate"/>
      </w:r>
      <w:r w:rsidRPr="00C314E2">
        <w:rPr>
          <w:lang w:eastAsia="lt-LT" w:bidi="lt-LT"/>
        </w:rPr>
        <w:t>6.983</w:t>
      </w:r>
      <w:r w:rsidRPr="00C314E2">
        <w:rPr>
          <w:bCs/>
          <w:iCs/>
          <w:lang w:eastAsia="lt-LT" w:bidi="lt-LT"/>
        </w:rPr>
        <w:fldChar w:fldCharType="end"/>
      </w:r>
      <w:bookmarkStart w:id="24" w:name="pn644ae6ab-744d-4b78-a57f-22eff12faf54"/>
      <w:bookmarkEnd w:id="23"/>
      <w:bookmarkEnd w:id="24"/>
      <w:r w:rsidRPr="00C314E2">
        <w:rPr>
          <w:bCs/>
          <w:iCs/>
          <w:lang w:eastAsia="lt-LT" w:bidi="lt-LT"/>
        </w:rPr>
        <w:t> straipsnio 1 dalis)</w:t>
      </w:r>
      <w:r>
        <w:rPr>
          <w:bCs/>
          <w:iCs/>
          <w:lang w:eastAsia="lt-LT" w:bidi="lt-LT"/>
        </w:rPr>
        <w:t>.</w:t>
      </w:r>
    </w:p>
    <w:p w14:paraId="7AE5DD1E" w14:textId="6E2AC12A" w:rsidR="00C314E2" w:rsidRDefault="00C314E2" w:rsidP="00C314E2">
      <w:pPr>
        <w:numPr>
          <w:ilvl w:val="0"/>
          <w:numId w:val="1"/>
        </w:numPr>
        <w:spacing w:after="120" w:line="240" w:lineRule="auto"/>
        <w:ind w:left="357" w:hanging="357"/>
        <w:jc w:val="both"/>
        <w:rPr>
          <w:bCs/>
          <w:iCs/>
          <w:lang w:eastAsia="lt-LT" w:bidi="lt-LT"/>
        </w:rPr>
      </w:pPr>
      <w:r w:rsidRPr="00C314E2">
        <w:rPr>
          <w:bCs/>
          <w:iCs/>
          <w:lang w:eastAsia="lt-LT" w:bidi="lt-LT"/>
        </w:rPr>
        <w:t>Savo esme taikos sutartis yra civilinė sutartis, kuria šalys laisvo apsisprendimo būdu (</w:t>
      </w:r>
      <w:hyperlink r:id="rId11" w:tgtFrame="_blank" w:tooltip="Lietuvos Respublikos civilinis kodeksas. Šeštoji knyga. Prievolių teisė" w:history="1">
        <w:r w:rsidRPr="00C314E2">
          <w:rPr>
            <w:lang w:eastAsia="lt-LT" w:bidi="lt-LT"/>
          </w:rPr>
          <w:t>CK</w:t>
        </w:r>
      </w:hyperlink>
      <w:r w:rsidRPr="00C314E2">
        <w:rPr>
          <w:bCs/>
          <w:iCs/>
          <w:lang w:eastAsia="lt-LT" w:bidi="lt-LT"/>
        </w:rPr>
        <w:t> </w:t>
      </w:r>
      <w:hyperlink r:id="rId12" w:tgtFrame="_blank" w:tooltip="Sutarties laisvės principas" w:history="1">
        <w:r w:rsidRPr="00C314E2">
          <w:rPr>
            <w:lang w:eastAsia="lt-LT" w:bidi="lt-LT"/>
          </w:rPr>
          <w:t>6.156</w:t>
        </w:r>
      </w:hyperlink>
      <w:r w:rsidRPr="00C314E2">
        <w:rPr>
          <w:bCs/>
          <w:iCs/>
          <w:lang w:eastAsia="lt-LT" w:bidi="lt-LT"/>
        </w:rPr>
        <w:t> straipsnis) išsprendžia ginčą, sutarties sąlygose pačios nusistatydamos savo teises ir pareigas, tačiau tik teismo patvirtinta šalių sudaryta taikos sutartis joms turi galutinio teismo sprendimo (</w:t>
      </w:r>
      <w:r w:rsidR="00AC3C4A">
        <w:rPr>
          <w:bCs/>
          <w:iCs/>
          <w:lang w:eastAsia="lt-LT" w:bidi="lt-LT"/>
        </w:rPr>
        <w:t xml:space="preserve">lot. </w:t>
      </w:r>
      <w:proofErr w:type="spellStart"/>
      <w:r w:rsidRPr="00C314E2">
        <w:rPr>
          <w:bCs/>
          <w:i/>
          <w:lang w:eastAsia="lt-LT" w:bidi="lt-LT"/>
        </w:rPr>
        <w:t>res</w:t>
      </w:r>
      <w:proofErr w:type="spellEnd"/>
      <w:r w:rsidRPr="00C314E2">
        <w:rPr>
          <w:bCs/>
          <w:i/>
          <w:lang w:eastAsia="lt-LT" w:bidi="lt-LT"/>
        </w:rPr>
        <w:t xml:space="preserve"> </w:t>
      </w:r>
      <w:proofErr w:type="spellStart"/>
      <w:r w:rsidRPr="00C314E2">
        <w:rPr>
          <w:bCs/>
          <w:i/>
          <w:lang w:eastAsia="lt-LT" w:bidi="lt-LT"/>
        </w:rPr>
        <w:t>judicata</w:t>
      </w:r>
      <w:proofErr w:type="spellEnd"/>
      <w:r w:rsidRPr="00C314E2">
        <w:rPr>
          <w:bCs/>
          <w:iCs/>
          <w:lang w:eastAsia="lt-LT" w:bidi="lt-LT"/>
        </w:rPr>
        <w:t>) galią ir yra priverstinai vykdytinas dokumentas (</w:t>
      </w:r>
      <w:hyperlink r:id="rId13" w:tgtFrame="_blank" w:tooltip="Lietuvos Respublikos civilinis kodeksas. Šeštoji knyga. Prievolių teisė" w:history="1">
        <w:r w:rsidRPr="00C314E2">
          <w:rPr>
            <w:lang w:eastAsia="lt-LT" w:bidi="lt-LT"/>
          </w:rPr>
          <w:t>CK</w:t>
        </w:r>
      </w:hyperlink>
      <w:r w:rsidRPr="00C314E2">
        <w:rPr>
          <w:bCs/>
          <w:iCs/>
          <w:lang w:eastAsia="lt-LT" w:bidi="lt-LT"/>
        </w:rPr>
        <w:t> </w:t>
      </w:r>
      <w:hyperlink r:id="rId14" w:tgtFrame="_blank" w:tooltip="Taikos sutarties galia" w:history="1">
        <w:r w:rsidRPr="00C314E2">
          <w:rPr>
            <w:lang w:eastAsia="lt-LT" w:bidi="lt-LT"/>
          </w:rPr>
          <w:t>6.985</w:t>
        </w:r>
      </w:hyperlink>
      <w:r w:rsidRPr="00C314E2">
        <w:rPr>
          <w:bCs/>
          <w:iCs/>
          <w:lang w:eastAsia="lt-LT" w:bidi="lt-LT"/>
        </w:rPr>
        <w:t> straipsnio 1 dalis) (Lietuvos Aukščiausiojo Teismo 2020 m. spalio 15 d. nutartis civilinėje byloje Nr. e3K-3-261-611/2020, 13 punktas)</w:t>
      </w:r>
      <w:r>
        <w:rPr>
          <w:bCs/>
          <w:iCs/>
          <w:lang w:eastAsia="lt-LT" w:bidi="lt-LT"/>
        </w:rPr>
        <w:t>.</w:t>
      </w:r>
    </w:p>
    <w:p w14:paraId="20E977A5" w14:textId="56273DBD" w:rsidR="00C314E2" w:rsidRDefault="00C314E2" w:rsidP="00C314E2">
      <w:pPr>
        <w:numPr>
          <w:ilvl w:val="0"/>
          <w:numId w:val="1"/>
        </w:numPr>
        <w:spacing w:after="120" w:line="240" w:lineRule="auto"/>
        <w:ind w:left="357" w:hanging="357"/>
        <w:jc w:val="both"/>
        <w:rPr>
          <w:bCs/>
          <w:iCs/>
          <w:lang w:eastAsia="lt-LT" w:bidi="lt-LT"/>
        </w:rPr>
      </w:pPr>
      <w:r w:rsidRPr="00C314E2">
        <w:rPr>
          <w:bCs/>
          <w:iCs/>
          <w:lang w:eastAsia="lt-LT" w:bidi="lt-LT"/>
        </w:rPr>
        <w:t xml:space="preserve">Kadangi esminis šios sutarties bruožas yra tarpusavio kompromiso suradimas abipusių nuolaidų būdu, tai taikos sutarties sąlygos neturi faktų konstatuojamosios, taigi ir tų faktų </w:t>
      </w:r>
      <w:proofErr w:type="spellStart"/>
      <w:r w:rsidRPr="00C314E2">
        <w:rPr>
          <w:bCs/>
          <w:iCs/>
          <w:lang w:eastAsia="lt-LT" w:bidi="lt-LT"/>
        </w:rPr>
        <w:t>prejudicinės</w:t>
      </w:r>
      <w:proofErr w:type="spellEnd"/>
      <w:r w:rsidRPr="00C314E2">
        <w:rPr>
          <w:bCs/>
          <w:iCs/>
          <w:lang w:eastAsia="lt-LT" w:bidi="lt-LT"/>
        </w:rPr>
        <w:t xml:space="preserve"> reikšmės, tačiau šalims ji svarbi jų subjektinėms teisėms ir pareigoms nustatyti, t. y. ši sutartis turi šalių teises ir pareigas nustatančią reikšmę (Lietuvos Aukščiausiojo Teismo 2012 m. lapkričio 23</w:t>
      </w:r>
      <w:r w:rsidR="00AC3C4A">
        <w:rPr>
          <w:bCs/>
          <w:iCs/>
          <w:lang w:eastAsia="lt-LT" w:bidi="lt-LT"/>
        </w:rPr>
        <w:t> </w:t>
      </w:r>
      <w:r w:rsidRPr="00C314E2">
        <w:rPr>
          <w:bCs/>
          <w:iCs/>
          <w:lang w:eastAsia="lt-LT" w:bidi="lt-LT"/>
        </w:rPr>
        <w:t>d. nutartis civilinėje byloje Nr. </w:t>
      </w:r>
      <w:hyperlink r:id="rId15" w:tgtFrame="_blank" w:tooltip="3K-3-522/2012 Dėl teisės įteisinti rekonstruotą ūkio pastatą" w:history="1">
        <w:r w:rsidRPr="00C314E2">
          <w:rPr>
            <w:lang w:eastAsia="lt-LT" w:bidi="lt-LT"/>
          </w:rPr>
          <w:t>3K-3-522/2012</w:t>
        </w:r>
      </w:hyperlink>
      <w:r w:rsidRPr="00C314E2">
        <w:rPr>
          <w:bCs/>
          <w:iCs/>
          <w:lang w:eastAsia="lt-LT" w:bidi="lt-LT"/>
        </w:rPr>
        <w:t>).</w:t>
      </w:r>
      <w:r>
        <w:rPr>
          <w:bCs/>
          <w:iCs/>
          <w:lang w:eastAsia="lt-LT" w:bidi="lt-LT"/>
        </w:rPr>
        <w:t xml:space="preserve"> </w:t>
      </w:r>
      <w:r w:rsidRPr="00C314E2">
        <w:rPr>
          <w:bCs/>
          <w:iCs/>
          <w:lang w:eastAsia="lt-LT" w:bidi="lt-LT"/>
        </w:rPr>
        <w:t>Ji įformina šalių valią suderinti skirtingas pozicijas ir būti teisiškai šio suderinimo įpareigotomis. Tai reiškia, kad taikos sutartimi nenustat</w:t>
      </w:r>
      <w:r w:rsidR="00AC3C4A">
        <w:rPr>
          <w:bCs/>
          <w:iCs/>
          <w:lang w:eastAsia="lt-LT" w:bidi="lt-LT"/>
        </w:rPr>
        <w:t>o</w:t>
      </w:r>
      <w:r w:rsidRPr="00C314E2">
        <w:rPr>
          <w:bCs/>
          <w:iCs/>
          <w:lang w:eastAsia="lt-LT" w:bidi="lt-LT"/>
        </w:rPr>
        <w:t>mi faktai, nepriklausomai nuo to, kurioje civilinio proceso stadijoje ar kokia teisena taikos sutartis patvirtinama (Lietuvos Aukščiausiojo Teismo 2010 m. kovo 15 d. nutartis civilinėje byloje Nr. 3K-3-108/2010)</w:t>
      </w:r>
      <w:r>
        <w:rPr>
          <w:bCs/>
          <w:iCs/>
          <w:lang w:eastAsia="lt-LT" w:bidi="lt-LT"/>
        </w:rPr>
        <w:t>.</w:t>
      </w:r>
    </w:p>
    <w:p w14:paraId="01D91CF0" w14:textId="3A785221" w:rsidR="00A43F93" w:rsidRDefault="00A43F93" w:rsidP="00C314E2">
      <w:pPr>
        <w:numPr>
          <w:ilvl w:val="0"/>
          <w:numId w:val="1"/>
        </w:numPr>
        <w:spacing w:after="120" w:line="240" w:lineRule="auto"/>
        <w:ind w:left="357" w:hanging="357"/>
        <w:jc w:val="both"/>
        <w:rPr>
          <w:bCs/>
          <w:iCs/>
          <w:lang w:eastAsia="lt-LT" w:bidi="lt-LT"/>
        </w:rPr>
      </w:pPr>
      <w:r>
        <w:rPr>
          <w:bCs/>
          <w:iCs/>
          <w:lang w:eastAsia="lt-LT" w:bidi="lt-LT"/>
        </w:rPr>
        <w:t xml:space="preserve">Apeliacinės instancijos teismas skundžiamoje nutartyje konstatavo, kad </w:t>
      </w:r>
      <w:r w:rsidR="00432A70">
        <w:rPr>
          <w:bCs/>
          <w:iCs/>
          <w:lang w:eastAsia="lt-LT" w:bidi="lt-LT"/>
        </w:rPr>
        <w:t xml:space="preserve">tai, jog atsakovė pagal šalių sudarytą Taikos sutartį, kuri yra patvirtinta įsiteisėjusia teismo nutartimi, įsipareigojo sumokėti ir sumokėjo 2018 ir 2019 metų prognozuojamas PSDF biudžeto išlaidas vaistui </w:t>
      </w:r>
      <w:r w:rsidR="00377C0F">
        <w:rPr>
          <w:bCs/>
          <w:iCs/>
          <w:lang w:eastAsia="lt-LT" w:bidi="lt-LT"/>
        </w:rPr>
        <w:t>„</w:t>
      </w:r>
      <w:proofErr w:type="spellStart"/>
      <w:r w:rsidR="00432A70">
        <w:rPr>
          <w:bCs/>
          <w:iCs/>
          <w:lang w:eastAsia="lt-LT" w:bidi="lt-LT"/>
        </w:rPr>
        <w:t>Ranexa</w:t>
      </w:r>
      <w:proofErr w:type="spellEnd"/>
      <w:r w:rsidR="00377C0F">
        <w:rPr>
          <w:bCs/>
          <w:iCs/>
          <w:lang w:eastAsia="lt-LT" w:bidi="lt-LT"/>
        </w:rPr>
        <w:t>“</w:t>
      </w:r>
      <w:r w:rsidR="00432A70">
        <w:rPr>
          <w:bCs/>
          <w:iCs/>
          <w:lang w:eastAsia="lt-LT" w:bidi="lt-LT"/>
        </w:rPr>
        <w:t xml:space="preserve"> į biudžetą, sudaro pagrindą konstatuoti, kad atsakovė laikė, jog Sutarties galiojimas nesibaigė 2015 metais</w:t>
      </w:r>
      <w:r w:rsidR="00AC3C4A">
        <w:rPr>
          <w:bCs/>
          <w:iCs/>
          <w:lang w:eastAsia="lt-LT" w:bidi="lt-LT"/>
        </w:rPr>
        <w:t>,</w:t>
      </w:r>
      <w:r w:rsidR="00432A70">
        <w:rPr>
          <w:bCs/>
          <w:iCs/>
          <w:lang w:eastAsia="lt-LT" w:bidi="lt-LT"/>
        </w:rPr>
        <w:t xml:space="preserve"> ir pripažino savo pareigą mokėti </w:t>
      </w:r>
      <w:r w:rsidR="00AC3C4A">
        <w:rPr>
          <w:bCs/>
          <w:iCs/>
          <w:lang w:eastAsia="lt-LT" w:bidi="lt-LT"/>
        </w:rPr>
        <w:t>lėša</w:t>
      </w:r>
      <w:r w:rsidR="00432A70">
        <w:rPr>
          <w:bCs/>
          <w:iCs/>
          <w:lang w:eastAsia="lt-LT" w:bidi="lt-LT"/>
        </w:rPr>
        <w:t>s į biudžetą vėlesniais metais, be kita, ko, ir 2020 metais.</w:t>
      </w:r>
    </w:p>
    <w:p w14:paraId="6E6BF60C" w14:textId="0F8B4482" w:rsidR="00432A70" w:rsidRDefault="00432A70" w:rsidP="00C314E2">
      <w:pPr>
        <w:numPr>
          <w:ilvl w:val="0"/>
          <w:numId w:val="1"/>
        </w:numPr>
        <w:spacing w:after="120" w:line="240" w:lineRule="auto"/>
        <w:ind w:left="357" w:hanging="357"/>
        <w:jc w:val="both"/>
        <w:rPr>
          <w:bCs/>
          <w:iCs/>
          <w:lang w:eastAsia="lt-LT" w:bidi="lt-LT"/>
        </w:rPr>
      </w:pPr>
      <w:r>
        <w:rPr>
          <w:bCs/>
          <w:iCs/>
          <w:lang w:eastAsia="lt-LT" w:bidi="lt-LT"/>
        </w:rPr>
        <w:t xml:space="preserve">Visų pirma, teisėjų kolegija </w:t>
      </w:r>
      <w:r w:rsidR="00AC3C4A">
        <w:rPr>
          <w:bCs/>
          <w:iCs/>
          <w:lang w:eastAsia="lt-LT" w:bidi="lt-LT"/>
        </w:rPr>
        <w:t>pabrėžia</w:t>
      </w:r>
      <w:r>
        <w:rPr>
          <w:bCs/>
          <w:iCs/>
          <w:lang w:eastAsia="lt-LT" w:bidi="lt-LT"/>
        </w:rPr>
        <w:t xml:space="preserve">, kad </w:t>
      </w:r>
      <w:r w:rsidRPr="00432A70">
        <w:rPr>
          <w:bCs/>
          <w:iCs/>
          <w:lang w:eastAsia="lt-LT" w:bidi="lt-LT"/>
        </w:rPr>
        <w:t>atsakovė, keldama klausimą dėl Sutarties galiojimo ir remdamasi Taikos sutartimi, cituoja ne visą Taikos sutarties 2 punktą, nutylėdama jos nuostatą, kad</w:t>
      </w:r>
      <w:r w:rsidR="00AC3C4A">
        <w:rPr>
          <w:bCs/>
          <w:iCs/>
          <w:lang w:eastAsia="lt-LT" w:bidi="lt-LT"/>
        </w:rPr>
        <w:t>,</w:t>
      </w:r>
      <w:r w:rsidRPr="00432A70">
        <w:rPr>
          <w:bCs/>
          <w:iCs/>
          <w:lang w:eastAsia="lt-LT" w:bidi="lt-LT"/>
        </w:rPr>
        <w:t xml:space="preserve"> atsakovei sumokėjus Taikos sutartyje nurodytas lėšas, visi jos įsipareigojimai pagal Sutartį būtų laikomi tinkamai įvykdyt</w:t>
      </w:r>
      <w:r w:rsidR="00AC3C4A">
        <w:rPr>
          <w:bCs/>
          <w:iCs/>
          <w:lang w:eastAsia="lt-LT" w:bidi="lt-LT"/>
        </w:rPr>
        <w:t>ais</w:t>
      </w:r>
      <w:r w:rsidRPr="00432A70">
        <w:rPr>
          <w:bCs/>
          <w:iCs/>
          <w:lang w:eastAsia="lt-LT" w:bidi="lt-LT"/>
        </w:rPr>
        <w:t xml:space="preserve"> ir ieškovė neturė</w:t>
      </w:r>
      <w:r w:rsidR="00AC3C4A">
        <w:rPr>
          <w:bCs/>
          <w:iCs/>
          <w:lang w:eastAsia="lt-LT" w:bidi="lt-LT"/>
        </w:rPr>
        <w:t>tų</w:t>
      </w:r>
      <w:r w:rsidRPr="00432A70">
        <w:rPr>
          <w:bCs/>
          <w:iCs/>
          <w:lang w:eastAsia="lt-LT" w:bidi="lt-LT"/>
        </w:rPr>
        <w:t xml:space="preserve"> jokių pretenzijų atsakovei, o visos šalių prievolės pagal Sutartį 2018–2019 metams būtų laikomos pasibaigusiomis</w:t>
      </w:r>
      <w:r w:rsidR="000524AE">
        <w:rPr>
          <w:bCs/>
          <w:iCs/>
          <w:lang w:eastAsia="lt-LT" w:bidi="lt-LT"/>
        </w:rPr>
        <w:t>. Taigi, priešingai nei teigia atsakovė kasaciniame skunde, Taikos sutartimi šalys nebuvo susitarusios dėl Sutarties galiojimo pabaigos, atsakovei įvykdžius Taikos sutartimi prisiimtus įsipareigojimus.</w:t>
      </w:r>
    </w:p>
    <w:p w14:paraId="4755E413" w14:textId="6CCFD7AF" w:rsidR="00432A70" w:rsidRDefault="00432A70" w:rsidP="00C314E2">
      <w:pPr>
        <w:numPr>
          <w:ilvl w:val="0"/>
          <w:numId w:val="1"/>
        </w:numPr>
        <w:spacing w:after="120" w:line="240" w:lineRule="auto"/>
        <w:ind w:left="357" w:hanging="357"/>
        <w:jc w:val="both"/>
        <w:rPr>
          <w:bCs/>
          <w:iCs/>
          <w:lang w:eastAsia="lt-LT" w:bidi="lt-LT"/>
        </w:rPr>
      </w:pPr>
      <w:r>
        <w:rPr>
          <w:bCs/>
          <w:iCs/>
          <w:lang w:eastAsia="lt-LT" w:bidi="lt-LT"/>
        </w:rPr>
        <w:t xml:space="preserve">Teisėjų kolegija </w:t>
      </w:r>
      <w:r w:rsidR="00AC3C4A">
        <w:rPr>
          <w:bCs/>
          <w:iCs/>
          <w:lang w:eastAsia="lt-LT" w:bidi="lt-LT"/>
        </w:rPr>
        <w:t>atkreipia dėmesį</w:t>
      </w:r>
      <w:r w:rsidR="000524AE">
        <w:rPr>
          <w:bCs/>
          <w:iCs/>
          <w:lang w:eastAsia="lt-LT" w:bidi="lt-LT"/>
        </w:rPr>
        <w:t xml:space="preserve"> ir tai</w:t>
      </w:r>
      <w:r>
        <w:rPr>
          <w:bCs/>
          <w:iCs/>
          <w:lang w:eastAsia="lt-LT" w:bidi="lt-LT"/>
        </w:rPr>
        <w:t xml:space="preserve">, kad bylos, kurioje buvo patvirtinta Taikos sutartis, ginčo dalykas ir šios nagrinėjamos bylos ginčo dalykas skiriasi. Nagrinėjamoje byloje ieškovė kreipėsi į teismą su prašymu įpareigoti atsakovę </w:t>
      </w:r>
      <w:r w:rsidRPr="00432A70">
        <w:rPr>
          <w:bCs/>
          <w:iCs/>
          <w:lang w:eastAsia="lt-LT" w:bidi="lt-LT"/>
        </w:rPr>
        <w:t xml:space="preserve">pasirašyti sutartį dėl 2020 metų prognozuojamų PSDF biudžeto išlaidų vaistui </w:t>
      </w:r>
      <w:r w:rsidR="00377C0F">
        <w:rPr>
          <w:bCs/>
          <w:iCs/>
          <w:lang w:eastAsia="lt-LT" w:bidi="lt-LT"/>
        </w:rPr>
        <w:t>„</w:t>
      </w:r>
      <w:proofErr w:type="spellStart"/>
      <w:r w:rsidRPr="00432A70">
        <w:rPr>
          <w:bCs/>
          <w:iCs/>
          <w:lang w:eastAsia="lt-LT" w:bidi="lt-LT"/>
        </w:rPr>
        <w:t>Ranexa</w:t>
      </w:r>
      <w:proofErr w:type="spellEnd"/>
      <w:r w:rsidR="00377C0F">
        <w:rPr>
          <w:bCs/>
          <w:iCs/>
          <w:lang w:eastAsia="lt-LT" w:bidi="lt-LT"/>
        </w:rPr>
        <w:t>“</w:t>
      </w:r>
      <w:r>
        <w:rPr>
          <w:bCs/>
          <w:iCs/>
          <w:lang w:eastAsia="lt-LT" w:bidi="lt-LT"/>
        </w:rPr>
        <w:t xml:space="preserve">, o byloje, kurioje patvirtinta Taikos sutartis, ieškovė kreipėsi į teismą su prašymu įpareigoti atsakovę pasirašyti Sutarties priedo pakeitimą dėl 2018 ir 2019 metų prognozuojamų PSDF biudžeto išlaidų vaistui </w:t>
      </w:r>
      <w:r w:rsidR="00377C0F">
        <w:rPr>
          <w:bCs/>
          <w:iCs/>
          <w:lang w:eastAsia="lt-LT" w:bidi="lt-LT"/>
        </w:rPr>
        <w:t>„</w:t>
      </w:r>
      <w:proofErr w:type="spellStart"/>
      <w:r>
        <w:rPr>
          <w:bCs/>
          <w:iCs/>
          <w:lang w:eastAsia="lt-LT" w:bidi="lt-LT"/>
        </w:rPr>
        <w:t>Ranexa</w:t>
      </w:r>
      <w:proofErr w:type="spellEnd"/>
      <w:r w:rsidR="00377C0F">
        <w:rPr>
          <w:bCs/>
          <w:iCs/>
          <w:lang w:eastAsia="lt-LT" w:bidi="lt-LT"/>
        </w:rPr>
        <w:t>“</w:t>
      </w:r>
      <w:r>
        <w:rPr>
          <w:bCs/>
          <w:iCs/>
          <w:lang w:eastAsia="lt-LT" w:bidi="lt-LT"/>
        </w:rPr>
        <w:t>.</w:t>
      </w:r>
      <w:r w:rsidR="00460979">
        <w:rPr>
          <w:bCs/>
          <w:iCs/>
          <w:lang w:eastAsia="lt-LT" w:bidi="lt-LT"/>
        </w:rPr>
        <w:t xml:space="preserve"> Šia aplinkybe </w:t>
      </w:r>
      <w:r w:rsidR="00460979" w:rsidRPr="00A94356">
        <w:rPr>
          <w:bCs/>
          <w:iCs/>
          <w:color w:val="000000" w:themeColor="text1"/>
          <w:lang w:eastAsia="lt-LT" w:bidi="lt-LT"/>
        </w:rPr>
        <w:t>paneig</w:t>
      </w:r>
      <w:r w:rsidR="00FB336D" w:rsidRPr="00A94356">
        <w:rPr>
          <w:bCs/>
          <w:iCs/>
          <w:color w:val="000000" w:themeColor="text1"/>
          <w:lang w:eastAsia="lt-LT" w:bidi="lt-LT"/>
        </w:rPr>
        <w:t>iam</w:t>
      </w:r>
      <w:r w:rsidR="00460979" w:rsidRPr="00A94356">
        <w:rPr>
          <w:bCs/>
          <w:iCs/>
          <w:color w:val="000000" w:themeColor="text1"/>
          <w:lang w:eastAsia="lt-LT" w:bidi="lt-LT"/>
        </w:rPr>
        <w:t>as</w:t>
      </w:r>
      <w:r w:rsidR="00460979" w:rsidRPr="00A94356">
        <w:rPr>
          <w:bCs/>
          <w:iCs/>
          <w:lang w:eastAsia="lt-LT" w:bidi="lt-LT"/>
        </w:rPr>
        <w:t xml:space="preserve"> kasacinio</w:t>
      </w:r>
      <w:r w:rsidR="00460979">
        <w:rPr>
          <w:bCs/>
          <w:iCs/>
          <w:lang w:eastAsia="lt-LT" w:bidi="lt-LT"/>
        </w:rPr>
        <w:t xml:space="preserve"> skundo argumenta</w:t>
      </w:r>
      <w:r w:rsidR="00FD14BF">
        <w:rPr>
          <w:bCs/>
          <w:iCs/>
          <w:lang w:eastAsia="lt-LT" w:bidi="lt-LT"/>
        </w:rPr>
        <w:t>s, kad, apeliacinės instancijos teismui priėmus skundžiamą nutartį, yra du skirtingi teismo sprendimai, t. y. teismo nutartis, kuria patvirtina Taikos sutartis, ir kasacine tvarka skundžiama nutartis.</w:t>
      </w:r>
    </w:p>
    <w:p w14:paraId="4985BBB3" w14:textId="2ADA1030" w:rsidR="000524AE" w:rsidRDefault="000524AE" w:rsidP="00C314E2">
      <w:pPr>
        <w:numPr>
          <w:ilvl w:val="0"/>
          <w:numId w:val="1"/>
        </w:numPr>
        <w:spacing w:after="120" w:line="240" w:lineRule="auto"/>
        <w:ind w:left="357" w:hanging="357"/>
        <w:jc w:val="both"/>
        <w:rPr>
          <w:bCs/>
          <w:iCs/>
          <w:lang w:eastAsia="lt-LT" w:bidi="lt-LT"/>
        </w:rPr>
      </w:pPr>
      <w:r>
        <w:rPr>
          <w:bCs/>
          <w:iCs/>
          <w:lang w:eastAsia="lt-LT" w:bidi="lt-LT"/>
        </w:rPr>
        <w:t xml:space="preserve">Teisėjų kolegija sutinka su atsakove, kad Taikos sutartis šiai nagrinėjamai bylai neturi </w:t>
      </w:r>
      <w:proofErr w:type="spellStart"/>
      <w:r>
        <w:rPr>
          <w:bCs/>
          <w:iCs/>
          <w:lang w:eastAsia="lt-LT" w:bidi="lt-LT"/>
        </w:rPr>
        <w:t>prejudicinės</w:t>
      </w:r>
      <w:proofErr w:type="spellEnd"/>
      <w:r>
        <w:rPr>
          <w:bCs/>
          <w:iCs/>
          <w:lang w:eastAsia="lt-LT" w:bidi="lt-LT"/>
        </w:rPr>
        <w:t xml:space="preserve"> galios, tačiau taip pat teisėjų kolegija nenustatė, kad apeliacinės instancijos teismas, priimdamas skundžiamą nutartį, būtų nukrypęs nuo kasaci</w:t>
      </w:r>
      <w:r w:rsidR="007162D8">
        <w:rPr>
          <w:bCs/>
          <w:iCs/>
          <w:lang w:eastAsia="lt-LT" w:bidi="lt-LT"/>
        </w:rPr>
        <w:t>nio teismo suformuotos praktikos dėl teismo nutartimi patvirtintos taikos sutarties teisinės galios.</w:t>
      </w:r>
    </w:p>
    <w:bookmarkEnd w:id="20"/>
    <w:p w14:paraId="7C901B71" w14:textId="018186C3" w:rsidR="007162D8" w:rsidRDefault="007162D8" w:rsidP="007162D8">
      <w:pPr>
        <w:numPr>
          <w:ilvl w:val="0"/>
          <w:numId w:val="1"/>
        </w:numPr>
        <w:spacing w:after="120" w:line="240" w:lineRule="auto"/>
        <w:ind w:left="357" w:hanging="357"/>
        <w:jc w:val="both"/>
        <w:rPr>
          <w:bCs/>
          <w:iCs/>
          <w:lang w:eastAsia="lt-LT" w:bidi="lt-LT"/>
        </w:rPr>
      </w:pPr>
      <w:r w:rsidRPr="007162D8">
        <w:rPr>
          <w:bCs/>
          <w:iCs/>
          <w:lang w:eastAsia="lt-LT" w:bidi="lt-LT"/>
        </w:rPr>
        <w:t xml:space="preserve">Pagal CPK 176 straipsnio 1 dalį, įrodinėjimo tikslas – teismo įsitikinimas, pagrįstas byloje esančių įrodymų tyrimu ir įvertinimu, kad tam tikros aplinkybės, susijusios su ginčo dalyku, egzistuoja arba neegzistuoja. Įrodymai civilinėje byloje yra bet kokie faktiniai duomenys, kuriais remdamasis teismas įstatymų nustatyta tvarka konstatuoja, kad yra aplinkybių, pagrindžiančių šalių reikalavimus ir atsikirtimus, ir kitokių aplinkybių, turinčių reikšmės bylai teisingai išspręsti, </w:t>
      </w:r>
      <w:r w:rsidRPr="007162D8">
        <w:rPr>
          <w:bCs/>
          <w:iCs/>
          <w:lang w:eastAsia="lt-LT" w:bidi="lt-LT"/>
        </w:rPr>
        <w:lastRenderedPageBreak/>
        <w:t>arba kad jų nėra (CPK 177 straipsnio 1 dalis). Pagal CPK 185 straipsnio 1 dalį, teismas įvertina byloje esančius įrodymus pagal vidinį savo įsitikinimą, pagrįstą visapusišku ir objektyviu aplinkybių, kurios buvo įrodinėjamos proceso metu, išnagrinėjimu, vadovaudamasis įstatymais</w:t>
      </w:r>
      <w:r>
        <w:rPr>
          <w:bCs/>
          <w:iCs/>
          <w:lang w:eastAsia="lt-LT" w:bidi="lt-LT"/>
        </w:rPr>
        <w:t>.</w:t>
      </w:r>
    </w:p>
    <w:p w14:paraId="665DCABF" w14:textId="4F242B30" w:rsidR="00EA6E46" w:rsidRDefault="00EA6E46" w:rsidP="007162D8">
      <w:pPr>
        <w:numPr>
          <w:ilvl w:val="0"/>
          <w:numId w:val="1"/>
        </w:numPr>
        <w:spacing w:after="120" w:line="240" w:lineRule="auto"/>
        <w:ind w:left="357" w:hanging="357"/>
        <w:jc w:val="both"/>
        <w:rPr>
          <w:bCs/>
          <w:iCs/>
          <w:lang w:eastAsia="lt-LT" w:bidi="lt-LT"/>
        </w:rPr>
      </w:pPr>
      <w:r w:rsidRPr="00EA6E46">
        <w:rPr>
          <w:bCs/>
          <w:iCs/>
          <w:lang w:eastAsia="lt-LT" w:bidi="lt-LT"/>
        </w:rPr>
        <w:t xml:space="preserve">Kasacinio teismo praktikoje dėl įrodymų vertinimo pabrėžiama, kad reikia įvertinti kiekvieną įrodymą ir įrodymų visetą. Išvados dėl įrodinėjimo dalyko </w:t>
      </w:r>
      <w:proofErr w:type="spellStart"/>
      <w:r w:rsidRPr="00EA6E46">
        <w:rPr>
          <w:bCs/>
          <w:iCs/>
          <w:lang w:eastAsia="lt-LT" w:bidi="lt-LT"/>
        </w:rPr>
        <w:t>įrodytinumo</w:t>
      </w:r>
      <w:proofErr w:type="spellEnd"/>
      <w:r w:rsidRPr="00EA6E46">
        <w:rPr>
          <w:bCs/>
          <w:iCs/>
          <w:lang w:eastAsia="lt-LT" w:bidi="lt-LT"/>
        </w:rPr>
        <w:t xml:space="preserve"> turi būti logiškai pagrįstos byloje surinktais duomenimis. Teismas gali konstatuoti tam tikros aplinkybės buvimą ar nebuvimą, kai tokiai išvadai padaryti pakanka byloje esančių įrodymų. Įrodymų pakankamumas byloje reiškia, kad jie tarpusavyje neprieštarauja vieni kitiems ir jų visuma leidžia padaryti pagrįstą išvadą apie įrodinėjamų faktinių aplinkybių buvimą (žr., pvz., Lietuvos Aukščiausiojo Teismo 2023 m. sausio 5 d. nutarties civilinėje byloje Nr. </w:t>
      </w:r>
      <w:bookmarkStart w:id="25" w:name="n95d9fc66-8358-438e-8948-9ffd68bc68e8"/>
      <w:r w:rsidRPr="00EA6E46">
        <w:rPr>
          <w:bCs/>
          <w:iCs/>
          <w:lang w:eastAsia="lt-LT" w:bidi="lt-LT"/>
        </w:rPr>
        <w:fldChar w:fldCharType="begin"/>
      </w:r>
      <w:r w:rsidRPr="00EA6E46">
        <w:rPr>
          <w:bCs/>
          <w:iCs/>
          <w:lang w:eastAsia="lt-LT" w:bidi="lt-LT"/>
        </w:rPr>
        <w:instrText>HYPERLINK "https://www.infolex.lt/tp/2133513" \o "e3K-3-47-403/2023 Dėl proceso teisės normų, įtvirtinančių įrodymų vertinimo taisykles, teisėjų ir teismų nepriklausomumą bei nešališkumą, teismo teisę priimti papildomą sprendimą pagal prašymą, kuris " \t "_blank"</w:instrText>
      </w:r>
      <w:r w:rsidRPr="00EA6E46">
        <w:rPr>
          <w:bCs/>
          <w:iCs/>
          <w:lang w:eastAsia="lt-LT" w:bidi="lt-LT"/>
        </w:rPr>
      </w:r>
      <w:r w:rsidRPr="00EA6E46">
        <w:rPr>
          <w:bCs/>
          <w:iCs/>
          <w:lang w:eastAsia="lt-LT" w:bidi="lt-LT"/>
        </w:rPr>
        <w:fldChar w:fldCharType="separate"/>
      </w:r>
      <w:r w:rsidRPr="00EA6E46">
        <w:rPr>
          <w:lang w:eastAsia="lt-LT" w:bidi="lt-LT"/>
        </w:rPr>
        <w:t>e3K-3-47-403/2023</w:t>
      </w:r>
      <w:r w:rsidRPr="00EA6E46">
        <w:rPr>
          <w:bCs/>
          <w:iCs/>
          <w:lang w:eastAsia="lt-LT" w:bidi="lt-LT"/>
        </w:rPr>
        <w:fldChar w:fldCharType="end"/>
      </w:r>
      <w:bookmarkStart w:id="26" w:name="pn95d9fc66-8358-438e-8948-9ffd68bc68e8"/>
      <w:bookmarkEnd w:id="25"/>
      <w:bookmarkEnd w:id="26"/>
      <w:r w:rsidRPr="00EA6E46">
        <w:rPr>
          <w:bCs/>
          <w:iCs/>
          <w:lang w:eastAsia="lt-LT" w:bidi="lt-LT"/>
        </w:rPr>
        <w:t> 32 punktą ir jame nurodytą kasacinio teismo praktiką). Įvertinant keletą įrodymų, lemia ne tik kiekvieno iš įrodymų patikimumas, bet ir įrodomųjų duomenų tarpusavio santykis – ar nėra prieštaravimų tarp jų, ar šalutiniai duomenys patvirtina pagrindinius, ar pakankami yra tiesioginiai duomenys, ar nuoseklūs yra šalutiniai įrodomieji faktai (Lietuvos Aukščiausiojo Teismo 2008 m. sausio 28 d. nutartis civilinėje byloje Nr. </w:t>
      </w:r>
      <w:bookmarkStart w:id="27" w:name="na720165d-d629-40e2-abae-5cfa8e2cd011"/>
      <w:r w:rsidRPr="00EA6E46">
        <w:rPr>
          <w:bCs/>
          <w:iCs/>
          <w:lang w:eastAsia="lt-LT" w:bidi="lt-LT"/>
        </w:rPr>
        <w:fldChar w:fldCharType="begin"/>
      </w:r>
      <w:r w:rsidRPr="00EA6E46">
        <w:rPr>
          <w:bCs/>
          <w:iCs/>
          <w:lang w:eastAsia="lt-LT" w:bidi="lt-LT"/>
        </w:rPr>
        <w:instrText>HYPERLINK "https://www.infolex.lt/tp/83862" \o "3K-3-18/2008 Dėl prievolės įvykdymo ir netesybų priteisimo." \t "_blank"</w:instrText>
      </w:r>
      <w:r w:rsidRPr="00EA6E46">
        <w:rPr>
          <w:bCs/>
          <w:iCs/>
          <w:lang w:eastAsia="lt-LT" w:bidi="lt-LT"/>
        </w:rPr>
      </w:r>
      <w:r w:rsidRPr="00EA6E46">
        <w:rPr>
          <w:bCs/>
          <w:iCs/>
          <w:lang w:eastAsia="lt-LT" w:bidi="lt-LT"/>
        </w:rPr>
        <w:fldChar w:fldCharType="separate"/>
      </w:r>
      <w:r w:rsidRPr="00EA6E46">
        <w:rPr>
          <w:lang w:eastAsia="lt-LT" w:bidi="lt-LT"/>
        </w:rPr>
        <w:t>3K-3-18/2008</w:t>
      </w:r>
      <w:r w:rsidRPr="00EA6E46">
        <w:rPr>
          <w:bCs/>
          <w:iCs/>
          <w:lang w:eastAsia="lt-LT" w:bidi="lt-LT"/>
        </w:rPr>
        <w:fldChar w:fldCharType="end"/>
      </w:r>
      <w:bookmarkStart w:id="28" w:name="pna720165d-d629-40e2-abae-5cfa8e2cd011"/>
      <w:bookmarkEnd w:id="27"/>
      <w:bookmarkEnd w:id="28"/>
      <w:r w:rsidRPr="00EA6E46">
        <w:rPr>
          <w:bCs/>
          <w:iCs/>
          <w:lang w:eastAsia="lt-LT" w:bidi="lt-LT"/>
        </w:rPr>
        <w:t>)</w:t>
      </w:r>
      <w:r>
        <w:rPr>
          <w:bCs/>
          <w:iCs/>
          <w:lang w:eastAsia="lt-LT" w:bidi="lt-LT"/>
        </w:rPr>
        <w:t>.</w:t>
      </w:r>
    </w:p>
    <w:p w14:paraId="1ED3E5CE" w14:textId="44E61B41" w:rsidR="007162D8" w:rsidRPr="00460311" w:rsidRDefault="00EA6E46" w:rsidP="00057A8E">
      <w:pPr>
        <w:numPr>
          <w:ilvl w:val="0"/>
          <w:numId w:val="1"/>
        </w:numPr>
        <w:spacing w:after="120" w:line="240" w:lineRule="auto"/>
        <w:ind w:left="357" w:hanging="357"/>
        <w:jc w:val="both"/>
        <w:rPr>
          <w:rFonts w:eastAsia="Times New Roman" w:cs="Times New Roman"/>
          <w:szCs w:val="24"/>
          <w:lang w:eastAsia="lt-LT"/>
        </w:rPr>
      </w:pPr>
      <w:r w:rsidRPr="00EA6E46">
        <w:rPr>
          <w:bCs/>
          <w:iCs/>
          <w:lang w:eastAsia="lt-LT" w:bidi="lt-LT"/>
        </w:rPr>
        <w:t xml:space="preserve">Pagal įrodymų vertinimo taisykles ir šiuo klausimu formuojamą anksčiau aptartą kasacinio teismo praktiką, išvados dėl tam tikrų byloje esančių aplinkybių konstatavimo turi būti padarytos išsamiai ištyrus ir įvertinus su įrodinėjama aplinkybe susijusius įrodymus. Šiuo atveju </w:t>
      </w:r>
      <w:r>
        <w:rPr>
          <w:bCs/>
          <w:iCs/>
          <w:lang w:eastAsia="lt-LT" w:bidi="lt-LT"/>
        </w:rPr>
        <w:t xml:space="preserve">spręstina, kad </w:t>
      </w:r>
      <w:r w:rsidRPr="00EA6E46">
        <w:rPr>
          <w:bCs/>
          <w:iCs/>
          <w:lang w:eastAsia="lt-LT" w:bidi="lt-LT"/>
        </w:rPr>
        <w:t>apeliacinės instancijos teism</w:t>
      </w:r>
      <w:r>
        <w:rPr>
          <w:bCs/>
          <w:iCs/>
          <w:lang w:eastAsia="lt-LT" w:bidi="lt-LT"/>
        </w:rPr>
        <w:t xml:space="preserve">o nuoroda į teismo nutartimi patvirtintą Taikos sutartį laikytina tik vienu iš įrodymų, kuriais </w:t>
      </w:r>
      <w:r w:rsidRPr="00A94356">
        <w:rPr>
          <w:bCs/>
          <w:iCs/>
          <w:color w:val="000000" w:themeColor="text1"/>
          <w:lang w:eastAsia="lt-LT" w:bidi="lt-LT"/>
        </w:rPr>
        <w:t>rėmė</w:t>
      </w:r>
      <w:r w:rsidR="00FB336D" w:rsidRPr="00A94356">
        <w:rPr>
          <w:bCs/>
          <w:iCs/>
          <w:color w:val="000000" w:themeColor="text1"/>
          <w:lang w:eastAsia="lt-LT" w:bidi="lt-LT"/>
        </w:rPr>
        <w:t>si</w:t>
      </w:r>
      <w:r w:rsidRPr="00FB336D">
        <w:rPr>
          <w:bCs/>
          <w:iCs/>
          <w:color w:val="FF0000"/>
          <w:lang w:eastAsia="lt-LT" w:bidi="lt-LT"/>
        </w:rPr>
        <w:t xml:space="preserve"> </w:t>
      </w:r>
      <w:r>
        <w:rPr>
          <w:bCs/>
          <w:iCs/>
          <w:lang w:eastAsia="lt-LT" w:bidi="lt-LT"/>
        </w:rPr>
        <w:t>apeliacinės instancijos teismas, argumentuodamas Sutarties galiojimą 2020 metais, tačiau nedaranti</w:t>
      </w:r>
      <w:r w:rsidR="001219A1">
        <w:rPr>
          <w:bCs/>
          <w:iCs/>
          <w:lang w:eastAsia="lt-LT" w:bidi="lt-LT"/>
        </w:rPr>
        <w:t>s</w:t>
      </w:r>
      <w:r>
        <w:rPr>
          <w:bCs/>
          <w:iCs/>
          <w:lang w:eastAsia="lt-LT" w:bidi="lt-LT"/>
        </w:rPr>
        <w:t xml:space="preserve"> esminės įtakos priimto sprendimo pagrįstumui, kadangi,</w:t>
      </w:r>
      <w:r w:rsidRPr="00EA6E46">
        <w:rPr>
          <w:bCs/>
          <w:iCs/>
          <w:lang w:eastAsia="lt-LT" w:bidi="lt-LT"/>
        </w:rPr>
        <w:t xml:space="preserve"> </w:t>
      </w:r>
      <w:r>
        <w:rPr>
          <w:bCs/>
          <w:iCs/>
          <w:lang w:eastAsia="lt-LT" w:bidi="lt-LT"/>
        </w:rPr>
        <w:t>k</w:t>
      </w:r>
      <w:r w:rsidRPr="00EA6E46">
        <w:rPr>
          <w:bCs/>
          <w:iCs/>
          <w:lang w:eastAsia="lt-LT" w:bidi="lt-LT"/>
        </w:rPr>
        <w:t>aip nurodyta a</w:t>
      </w:r>
      <w:r w:rsidR="00AC3C4A">
        <w:rPr>
          <w:bCs/>
          <w:iCs/>
          <w:lang w:eastAsia="lt-LT" w:bidi="lt-LT"/>
        </w:rPr>
        <w:t>n</w:t>
      </w:r>
      <w:r w:rsidRPr="00EA6E46">
        <w:rPr>
          <w:bCs/>
          <w:iCs/>
          <w:lang w:eastAsia="lt-LT" w:bidi="lt-LT"/>
        </w:rPr>
        <w:t>k</w:t>
      </w:r>
      <w:r w:rsidR="00AC3C4A">
        <w:rPr>
          <w:bCs/>
          <w:iCs/>
          <w:lang w:eastAsia="lt-LT" w:bidi="lt-LT"/>
        </w:rPr>
        <w:t>s</w:t>
      </w:r>
      <w:r w:rsidRPr="00EA6E46">
        <w:rPr>
          <w:bCs/>
          <w:iCs/>
          <w:lang w:eastAsia="lt-LT" w:bidi="lt-LT"/>
        </w:rPr>
        <w:t>čiau šioje nutartyje, apeliacinės instancijos teismas, konstatuodamas, kad Sutartis 2020 metais buvo galiojanti ir nebuvo pasibaigusi, vadovavosi teisės aktais ir pačios Sutarties nuostatomis.</w:t>
      </w:r>
    </w:p>
    <w:p w14:paraId="695DC9C9" w14:textId="45D26915" w:rsidR="00460311" w:rsidRPr="00EA6E46" w:rsidRDefault="00460311" w:rsidP="00057A8E">
      <w:pPr>
        <w:numPr>
          <w:ilvl w:val="0"/>
          <w:numId w:val="1"/>
        </w:numPr>
        <w:spacing w:after="120" w:line="240" w:lineRule="auto"/>
        <w:ind w:left="357" w:hanging="357"/>
        <w:jc w:val="both"/>
        <w:rPr>
          <w:rFonts w:eastAsia="Times New Roman" w:cs="Times New Roman"/>
          <w:szCs w:val="24"/>
          <w:lang w:eastAsia="lt-LT"/>
        </w:rPr>
      </w:pPr>
      <w:r w:rsidRPr="00460311">
        <w:rPr>
          <w:rFonts w:eastAsia="Times New Roman" w:cs="Times New Roman"/>
          <w:szCs w:val="24"/>
          <w:lang w:eastAsia="lt-LT"/>
        </w:rPr>
        <w:t>Teisėjų kolegija, įvertinusi skundžiamą apeliacinės instancijos teismo nutartį bei kasaciniam teismui šalių pateiktų procesinių dokumentų argumentus, konstatuoja, kad nėra teisinio pagrindo pripažinti pagrįstais atsakov</w:t>
      </w:r>
      <w:r w:rsidR="001219A1">
        <w:rPr>
          <w:rFonts w:eastAsia="Times New Roman" w:cs="Times New Roman"/>
          <w:szCs w:val="24"/>
          <w:lang w:eastAsia="lt-LT"/>
        </w:rPr>
        <w:t>ės</w:t>
      </w:r>
      <w:r w:rsidRPr="00460311">
        <w:rPr>
          <w:rFonts w:eastAsia="Times New Roman" w:cs="Times New Roman"/>
          <w:szCs w:val="24"/>
          <w:lang w:eastAsia="lt-LT"/>
        </w:rPr>
        <w:t xml:space="preserve"> kasacinio skundo argumentus, jog apeliacinės instancijos teismas skundžiamoje nutartyje nukrypo nuo Lietuvos Aukščiausiojo Teismo suformuotos praktikos dėl </w:t>
      </w:r>
      <w:r>
        <w:rPr>
          <w:rFonts w:eastAsia="Times New Roman" w:cs="Times New Roman"/>
          <w:szCs w:val="24"/>
          <w:lang w:eastAsia="lt-LT"/>
        </w:rPr>
        <w:t xml:space="preserve">teismo nutartimi patvirtintos taikos sutarties įrodomosios ir </w:t>
      </w:r>
      <w:proofErr w:type="spellStart"/>
      <w:r>
        <w:rPr>
          <w:rFonts w:eastAsia="Times New Roman" w:cs="Times New Roman"/>
          <w:szCs w:val="24"/>
          <w:lang w:eastAsia="lt-LT"/>
        </w:rPr>
        <w:t>prejudicinės</w:t>
      </w:r>
      <w:proofErr w:type="spellEnd"/>
      <w:r>
        <w:rPr>
          <w:rFonts w:eastAsia="Times New Roman" w:cs="Times New Roman"/>
          <w:szCs w:val="24"/>
          <w:lang w:eastAsia="lt-LT"/>
        </w:rPr>
        <w:t xml:space="preserve"> galios.</w:t>
      </w:r>
    </w:p>
    <w:p w14:paraId="5C42DC44" w14:textId="77777777" w:rsidR="006C0045" w:rsidRPr="00EA6E46" w:rsidRDefault="006C0045" w:rsidP="00FD14BF">
      <w:pPr>
        <w:spacing w:after="120" w:line="240" w:lineRule="auto"/>
        <w:jc w:val="both"/>
        <w:rPr>
          <w:rFonts w:eastAsia="Times New Roman" w:cs="Times New Roman"/>
          <w:szCs w:val="24"/>
          <w:lang w:eastAsia="lt-LT"/>
        </w:rPr>
      </w:pPr>
    </w:p>
    <w:p w14:paraId="5E58DE49" w14:textId="77777777" w:rsidR="00AC00DC" w:rsidRPr="0013069A" w:rsidRDefault="00AC00DC" w:rsidP="008A1DFA">
      <w:pPr>
        <w:spacing w:after="120" w:line="240" w:lineRule="auto"/>
        <w:ind w:firstLine="720"/>
        <w:rPr>
          <w:rFonts w:eastAsia="Times New Roman" w:cs="Times New Roman"/>
          <w:i/>
          <w:szCs w:val="24"/>
          <w:lang w:eastAsia="lt-LT"/>
        </w:rPr>
      </w:pPr>
      <w:r w:rsidRPr="0013069A">
        <w:rPr>
          <w:rFonts w:eastAsia="Times New Roman" w:cs="Times New Roman"/>
          <w:i/>
          <w:szCs w:val="24"/>
          <w:lang w:eastAsia="lt-LT"/>
        </w:rPr>
        <w:t>Dėl bylos procesinės baigties</w:t>
      </w:r>
      <w:r w:rsidR="00D416E8">
        <w:rPr>
          <w:rFonts w:eastAsia="Times New Roman" w:cs="Times New Roman"/>
          <w:i/>
          <w:szCs w:val="24"/>
          <w:lang w:eastAsia="lt-LT"/>
        </w:rPr>
        <w:t xml:space="preserve"> ir bylinėjimosi išlaidų</w:t>
      </w:r>
    </w:p>
    <w:p w14:paraId="12546FB0" w14:textId="77777777" w:rsidR="00AC00DC" w:rsidRPr="0013069A" w:rsidRDefault="00AC00DC" w:rsidP="004B5141">
      <w:pPr>
        <w:spacing w:after="120" w:line="240" w:lineRule="auto"/>
        <w:ind w:firstLine="720"/>
        <w:rPr>
          <w:rFonts w:eastAsia="Times New Roman"/>
        </w:rPr>
      </w:pPr>
    </w:p>
    <w:p w14:paraId="4C4D6C42" w14:textId="4B47E606" w:rsidR="004C5126" w:rsidRDefault="00AC00DC" w:rsidP="004C5126">
      <w:pPr>
        <w:numPr>
          <w:ilvl w:val="0"/>
          <w:numId w:val="1"/>
        </w:numPr>
        <w:spacing w:after="12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 xml:space="preserve">Apibendrindama </w:t>
      </w:r>
      <w:r w:rsidR="00A31A5D">
        <w:rPr>
          <w:rFonts w:eastAsia="Times New Roman" w:cs="Times New Roman"/>
          <w:szCs w:val="24"/>
          <w:lang w:eastAsia="lt-LT"/>
        </w:rPr>
        <w:t>šioje nutartyje išdėstytus motyvus</w:t>
      </w:r>
      <w:r w:rsidRPr="0013069A">
        <w:rPr>
          <w:rFonts w:eastAsia="Times New Roman" w:cs="Times New Roman"/>
          <w:szCs w:val="24"/>
          <w:lang w:eastAsia="lt-LT"/>
        </w:rPr>
        <w:t xml:space="preserve">, teisėjų kolegija </w:t>
      </w:r>
      <w:r w:rsidR="00A31A5D">
        <w:rPr>
          <w:rFonts w:eastAsia="Times New Roman" w:cs="Times New Roman"/>
          <w:szCs w:val="24"/>
          <w:lang w:eastAsia="lt-LT"/>
        </w:rPr>
        <w:t>nusprendžia</w:t>
      </w:r>
      <w:r w:rsidRPr="0013069A">
        <w:rPr>
          <w:rFonts w:eastAsia="Times New Roman" w:cs="Times New Roman"/>
          <w:szCs w:val="24"/>
          <w:lang w:eastAsia="lt-LT"/>
        </w:rPr>
        <w:t xml:space="preserve">, kad </w:t>
      </w:r>
      <w:r w:rsidR="009E6E68" w:rsidRPr="009E6E68">
        <w:rPr>
          <w:rFonts w:eastAsia="Times New Roman" w:cs="Times New Roman"/>
          <w:szCs w:val="24"/>
          <w:lang w:eastAsia="lt-LT"/>
        </w:rPr>
        <w:t>kasaciniu skundu nepagrindžiama, jog bylą nagrinėję</w:t>
      </w:r>
      <w:r w:rsidR="000524AE">
        <w:rPr>
          <w:rFonts w:eastAsia="Times New Roman" w:cs="Times New Roman"/>
          <w:szCs w:val="24"/>
          <w:lang w:eastAsia="lt-LT"/>
        </w:rPr>
        <w:t>s apeliacinės instancijos</w:t>
      </w:r>
      <w:r w:rsidR="009E6E68" w:rsidRPr="009E6E68">
        <w:rPr>
          <w:rFonts w:eastAsia="Times New Roman" w:cs="Times New Roman"/>
          <w:szCs w:val="24"/>
          <w:lang w:eastAsia="lt-LT"/>
        </w:rPr>
        <w:t xml:space="preserve"> teisma</w:t>
      </w:r>
      <w:r w:rsidR="000524AE">
        <w:rPr>
          <w:rFonts w:eastAsia="Times New Roman" w:cs="Times New Roman"/>
          <w:szCs w:val="24"/>
          <w:lang w:eastAsia="lt-LT"/>
        </w:rPr>
        <w:t xml:space="preserve">s </w:t>
      </w:r>
      <w:r w:rsidR="009E6E68" w:rsidRPr="009E6E68">
        <w:rPr>
          <w:rFonts w:eastAsia="Times New Roman" w:cs="Times New Roman"/>
          <w:szCs w:val="24"/>
          <w:lang w:eastAsia="lt-LT"/>
        </w:rPr>
        <w:t>pažeidė proces</w:t>
      </w:r>
      <w:r w:rsidR="001219A1">
        <w:rPr>
          <w:rFonts w:eastAsia="Times New Roman" w:cs="Times New Roman"/>
          <w:szCs w:val="24"/>
          <w:lang w:eastAsia="lt-LT"/>
        </w:rPr>
        <w:t>o</w:t>
      </w:r>
      <w:r w:rsidR="009E6E68" w:rsidRPr="009E6E68">
        <w:rPr>
          <w:rFonts w:eastAsia="Times New Roman" w:cs="Times New Roman"/>
          <w:szCs w:val="24"/>
          <w:lang w:eastAsia="lt-LT"/>
        </w:rPr>
        <w:t xml:space="preserve"> teisės normas, todėl naikinti apeliacinės instancijos teismo nutartį remiantis kasacinio skundo argumentais nėra teisinio pagrindo (</w:t>
      </w:r>
      <w:bookmarkStart w:id="29" w:name="n6ba3be1a-f1bc-4849-b96b-10cd32456e19"/>
      <w:r w:rsidR="009E6E68" w:rsidRPr="009E6E68">
        <w:rPr>
          <w:rFonts w:eastAsia="Times New Roman" w:cs="Times New Roman"/>
          <w:szCs w:val="24"/>
          <w:lang w:eastAsia="lt-LT"/>
        </w:rPr>
        <w:t>CPK</w:t>
      </w:r>
      <w:bookmarkStart w:id="30" w:name="pn6ba3be1a-f1bc-4849-b96b-10cd32456e19"/>
      <w:bookmarkEnd w:id="29"/>
      <w:bookmarkEnd w:id="30"/>
      <w:r w:rsidR="009E6E68" w:rsidRPr="009E6E68">
        <w:rPr>
          <w:rFonts w:eastAsia="Times New Roman" w:cs="Times New Roman"/>
          <w:szCs w:val="24"/>
          <w:lang w:eastAsia="lt-LT"/>
        </w:rPr>
        <w:t> </w:t>
      </w:r>
      <w:bookmarkStart w:id="31" w:name="n3a6db2df-64ff-4719-99ed-dc0dabb486c2"/>
      <w:r w:rsidR="009E6E68" w:rsidRPr="009E6E68">
        <w:rPr>
          <w:rFonts w:eastAsia="Times New Roman" w:cs="Times New Roman"/>
          <w:szCs w:val="24"/>
          <w:lang w:eastAsia="lt-LT"/>
        </w:rPr>
        <w:t>346</w:t>
      </w:r>
      <w:bookmarkStart w:id="32" w:name="pn3a6db2df-64ff-4719-99ed-dc0dabb486c2"/>
      <w:bookmarkEnd w:id="31"/>
      <w:bookmarkEnd w:id="32"/>
      <w:r w:rsidR="009E6E68" w:rsidRPr="009E6E68">
        <w:rPr>
          <w:rFonts w:eastAsia="Times New Roman" w:cs="Times New Roman"/>
          <w:szCs w:val="24"/>
          <w:lang w:eastAsia="lt-LT"/>
        </w:rPr>
        <w:t> straipsnis, </w:t>
      </w:r>
      <w:bookmarkStart w:id="33" w:name="nf618e8e1-d92c-403b-b8ac-d17262164655"/>
      <w:r w:rsidR="009E6E68" w:rsidRPr="009E6E68">
        <w:rPr>
          <w:rFonts w:eastAsia="Times New Roman" w:cs="Times New Roman"/>
          <w:szCs w:val="24"/>
          <w:lang w:eastAsia="lt-LT"/>
        </w:rPr>
        <w:t>359</w:t>
      </w:r>
      <w:bookmarkStart w:id="34" w:name="pnf618e8e1-d92c-403b-b8ac-d17262164655"/>
      <w:bookmarkEnd w:id="33"/>
      <w:bookmarkEnd w:id="34"/>
      <w:r w:rsidR="009E6E68" w:rsidRPr="009E6E68">
        <w:rPr>
          <w:rFonts w:eastAsia="Times New Roman" w:cs="Times New Roman"/>
          <w:szCs w:val="24"/>
          <w:lang w:eastAsia="lt-LT"/>
        </w:rPr>
        <w:t> straipsnio 3 dalis)</w:t>
      </w:r>
      <w:bookmarkStart w:id="35" w:name="pnTP1_10000021_aktas"/>
      <w:bookmarkStart w:id="36" w:name="pnTP1_10000022_sub_vienetas"/>
      <w:bookmarkStart w:id="37" w:name="pnTP1_10000025_sub_vienetas"/>
      <w:bookmarkEnd w:id="35"/>
      <w:bookmarkEnd w:id="36"/>
      <w:bookmarkEnd w:id="37"/>
      <w:r w:rsidR="009E6E68" w:rsidRPr="009E6E68">
        <w:rPr>
          <w:rFonts w:eastAsia="Times New Roman" w:cs="Times New Roman"/>
          <w:szCs w:val="24"/>
          <w:lang w:eastAsia="lt-LT"/>
        </w:rPr>
        <w:t>.</w:t>
      </w:r>
    </w:p>
    <w:p w14:paraId="513EF817" w14:textId="6A9EB772" w:rsidR="009E6E68" w:rsidRDefault="009E6E68" w:rsidP="004C5126">
      <w:pPr>
        <w:numPr>
          <w:ilvl w:val="0"/>
          <w:numId w:val="1"/>
        </w:numPr>
        <w:spacing w:after="120" w:line="240" w:lineRule="auto"/>
        <w:ind w:left="357" w:hanging="357"/>
        <w:jc w:val="both"/>
        <w:rPr>
          <w:rFonts w:eastAsia="Times New Roman" w:cs="Times New Roman"/>
          <w:szCs w:val="24"/>
          <w:lang w:eastAsia="lt-LT"/>
        </w:rPr>
      </w:pPr>
      <w:r w:rsidRPr="009E6E68">
        <w:rPr>
          <w:rFonts w:eastAsia="Times New Roman" w:cs="Times New Roman"/>
          <w:szCs w:val="24"/>
          <w:lang w:eastAsia="lt-LT"/>
        </w:rPr>
        <w:t>Šaliai, kurios naudai priimtas teismo sprendimas, jos turėtų bylinėjimosi išlaidų atlyginimas priteisiamas iš kitos šalies (</w:t>
      </w:r>
      <w:bookmarkStart w:id="38" w:name="nc364a588-ca56-43e7-9086-340222e260ac"/>
      <w:r w:rsidR="0042695B" w:rsidRPr="009E6E68">
        <w:rPr>
          <w:rFonts w:eastAsia="Times New Roman" w:cs="Times New Roman"/>
          <w:szCs w:val="24"/>
          <w:lang w:eastAsia="lt-LT"/>
        </w:rPr>
        <w:fldChar w:fldCharType="begin"/>
      </w:r>
      <w:r w:rsidRPr="009E6E68">
        <w:rPr>
          <w:rFonts w:eastAsia="Times New Roman" w:cs="Times New Roman"/>
          <w:szCs w:val="24"/>
          <w:lang w:eastAsia="lt-LT"/>
        </w:rPr>
        <w:instrText>HYPERLINK "https://www.infolex.lt/ta/77554" \o "Lietuvos Respublikos civilinio proceso kodeksas" \t "_blank"</w:instrText>
      </w:r>
      <w:r w:rsidR="0042695B" w:rsidRPr="009E6E68">
        <w:rPr>
          <w:rFonts w:eastAsia="Times New Roman" w:cs="Times New Roman"/>
          <w:szCs w:val="24"/>
          <w:lang w:eastAsia="lt-LT"/>
        </w:rPr>
      </w:r>
      <w:r w:rsidR="0042695B" w:rsidRPr="009E6E68">
        <w:rPr>
          <w:rFonts w:eastAsia="Times New Roman" w:cs="Times New Roman"/>
          <w:szCs w:val="24"/>
          <w:lang w:eastAsia="lt-LT"/>
        </w:rPr>
        <w:fldChar w:fldCharType="separate"/>
      </w:r>
      <w:r w:rsidRPr="009E6E68">
        <w:rPr>
          <w:lang w:eastAsia="lt-LT"/>
        </w:rPr>
        <w:t>CPK</w:t>
      </w:r>
      <w:r w:rsidR="0042695B" w:rsidRPr="009E6E68">
        <w:rPr>
          <w:rFonts w:eastAsia="Times New Roman" w:cs="Times New Roman"/>
          <w:szCs w:val="24"/>
          <w:lang w:eastAsia="lt-LT"/>
        </w:rPr>
        <w:fldChar w:fldCharType="end"/>
      </w:r>
      <w:bookmarkStart w:id="39" w:name="pnc364a588-ca56-43e7-9086-340222e260ac"/>
      <w:bookmarkEnd w:id="38"/>
      <w:bookmarkEnd w:id="39"/>
      <w:r w:rsidRPr="009E6E68">
        <w:rPr>
          <w:rFonts w:eastAsia="Times New Roman" w:cs="Times New Roman"/>
          <w:szCs w:val="24"/>
          <w:lang w:eastAsia="lt-LT"/>
        </w:rPr>
        <w:t> </w:t>
      </w:r>
      <w:bookmarkStart w:id="40" w:name="n59e462f4-27ec-4b73-8c10-bec6c9a70a9f"/>
      <w:r w:rsidR="0042695B" w:rsidRPr="009E6E68">
        <w:rPr>
          <w:rFonts w:eastAsia="Times New Roman" w:cs="Times New Roman"/>
          <w:szCs w:val="24"/>
          <w:lang w:eastAsia="lt-LT"/>
        </w:rPr>
        <w:fldChar w:fldCharType="begin"/>
      </w:r>
      <w:r w:rsidRPr="009E6E68">
        <w:rPr>
          <w:rFonts w:eastAsia="Times New Roman" w:cs="Times New Roman"/>
          <w:szCs w:val="24"/>
          <w:lang w:eastAsia="lt-LT"/>
        </w:rPr>
        <w:instrText>HYPERLINK "https://www.infolex.lt/tp/2187415" \o "Bylinėjimosi išlaidų paskirstymas" \t "_blank"</w:instrText>
      </w:r>
      <w:r w:rsidR="0042695B" w:rsidRPr="009E6E68">
        <w:rPr>
          <w:rFonts w:eastAsia="Times New Roman" w:cs="Times New Roman"/>
          <w:szCs w:val="24"/>
          <w:lang w:eastAsia="lt-LT"/>
        </w:rPr>
      </w:r>
      <w:r w:rsidR="0042695B" w:rsidRPr="009E6E68">
        <w:rPr>
          <w:rFonts w:eastAsia="Times New Roman" w:cs="Times New Roman"/>
          <w:szCs w:val="24"/>
          <w:lang w:eastAsia="lt-LT"/>
        </w:rPr>
        <w:fldChar w:fldCharType="separate"/>
      </w:r>
      <w:r w:rsidRPr="009E6E68">
        <w:rPr>
          <w:lang w:eastAsia="lt-LT"/>
        </w:rPr>
        <w:t>93</w:t>
      </w:r>
      <w:r w:rsidR="0042695B" w:rsidRPr="009E6E68">
        <w:rPr>
          <w:rFonts w:eastAsia="Times New Roman" w:cs="Times New Roman"/>
          <w:szCs w:val="24"/>
          <w:lang w:eastAsia="lt-LT"/>
        </w:rPr>
        <w:fldChar w:fldCharType="end"/>
      </w:r>
      <w:bookmarkStart w:id="41" w:name="pn59e462f4-27ec-4b73-8c10-bec6c9a70a9f"/>
      <w:bookmarkEnd w:id="40"/>
      <w:bookmarkEnd w:id="41"/>
      <w:r w:rsidRPr="009E6E68">
        <w:rPr>
          <w:rFonts w:eastAsia="Times New Roman" w:cs="Times New Roman"/>
          <w:szCs w:val="24"/>
          <w:lang w:eastAsia="lt-LT"/>
        </w:rPr>
        <w:t> straipsnio 1 dalis). </w:t>
      </w:r>
      <w:r w:rsidRPr="00A94356">
        <w:rPr>
          <w:rFonts w:eastAsia="Times New Roman" w:cs="Times New Roman"/>
          <w:szCs w:val="24"/>
          <w:lang w:eastAsia="lt-LT"/>
        </w:rPr>
        <w:t>Netenkin</w:t>
      </w:r>
      <w:r w:rsidR="00FB336D" w:rsidRPr="00A94356">
        <w:rPr>
          <w:rFonts w:eastAsia="Times New Roman" w:cs="Times New Roman"/>
          <w:szCs w:val="24"/>
          <w:lang w:eastAsia="lt-LT"/>
        </w:rPr>
        <w:t>us</w:t>
      </w:r>
      <w:r w:rsidRPr="009E6E68">
        <w:rPr>
          <w:rFonts w:eastAsia="Times New Roman" w:cs="Times New Roman"/>
          <w:szCs w:val="24"/>
          <w:lang w:eastAsia="lt-LT"/>
        </w:rPr>
        <w:t xml:space="preserve"> </w:t>
      </w:r>
      <w:r>
        <w:rPr>
          <w:rFonts w:eastAsia="Times New Roman" w:cs="Times New Roman"/>
          <w:szCs w:val="24"/>
          <w:lang w:eastAsia="lt-LT"/>
        </w:rPr>
        <w:t>atsakovės</w:t>
      </w:r>
      <w:r w:rsidRPr="009E6E68">
        <w:rPr>
          <w:rFonts w:eastAsia="Times New Roman" w:cs="Times New Roman"/>
          <w:szCs w:val="24"/>
          <w:lang w:eastAsia="lt-LT"/>
        </w:rPr>
        <w:t xml:space="preserve"> kasacinio skundo, jo</w:t>
      </w:r>
      <w:r>
        <w:rPr>
          <w:rFonts w:eastAsia="Times New Roman" w:cs="Times New Roman"/>
          <w:szCs w:val="24"/>
          <w:lang w:eastAsia="lt-LT"/>
        </w:rPr>
        <w:t>s</w:t>
      </w:r>
      <w:r w:rsidRPr="009E6E68">
        <w:rPr>
          <w:rFonts w:eastAsia="Times New Roman" w:cs="Times New Roman"/>
          <w:szCs w:val="24"/>
          <w:lang w:eastAsia="lt-LT"/>
        </w:rPr>
        <w:t xml:space="preserve"> patirtų bylinėjimosi išlaidų atlyginimas nepriteistinas. Tačiau, netenkinus </w:t>
      </w:r>
      <w:r>
        <w:rPr>
          <w:rFonts w:eastAsia="Times New Roman" w:cs="Times New Roman"/>
          <w:szCs w:val="24"/>
          <w:lang w:eastAsia="lt-LT"/>
        </w:rPr>
        <w:t>atsakovės</w:t>
      </w:r>
      <w:r w:rsidRPr="009E6E68">
        <w:rPr>
          <w:rFonts w:eastAsia="Times New Roman" w:cs="Times New Roman"/>
          <w:szCs w:val="24"/>
          <w:lang w:eastAsia="lt-LT"/>
        </w:rPr>
        <w:t xml:space="preserve"> kasacinio skundo, teisę į kasaciniame procese patirtų išlaidų atlyginimą įgijo </w:t>
      </w:r>
      <w:r>
        <w:rPr>
          <w:rFonts w:eastAsia="Times New Roman" w:cs="Times New Roman"/>
          <w:szCs w:val="24"/>
          <w:lang w:eastAsia="lt-LT"/>
        </w:rPr>
        <w:t>ieškovė.</w:t>
      </w:r>
    </w:p>
    <w:p w14:paraId="77C07B92" w14:textId="4AB06E2B" w:rsidR="00D26260" w:rsidRDefault="00D26260" w:rsidP="004C5126">
      <w:pPr>
        <w:numPr>
          <w:ilvl w:val="0"/>
          <w:numId w:val="1"/>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Ieškovė nepateikė įrodymų, pagrindžiančių kasaciniame teisme turėtų bylinėjimosi išlaidų faktą ir jų dydį, todėl bylinėjimosi išlaidų atlyginimo klausimas nesprendžiamas (CPK 98 straipsnio 1</w:t>
      </w:r>
      <w:r w:rsidR="00AC3C4A">
        <w:rPr>
          <w:rFonts w:eastAsia="Times New Roman" w:cs="Times New Roman"/>
          <w:szCs w:val="24"/>
          <w:lang w:eastAsia="lt-LT"/>
        </w:rPr>
        <w:t> </w:t>
      </w:r>
      <w:r>
        <w:rPr>
          <w:rFonts w:eastAsia="Times New Roman" w:cs="Times New Roman"/>
          <w:szCs w:val="24"/>
          <w:lang w:eastAsia="lt-LT"/>
        </w:rPr>
        <w:t>dalis).</w:t>
      </w:r>
    </w:p>
    <w:p w14:paraId="2E517B7D" w14:textId="77777777" w:rsidR="009E6E68" w:rsidRDefault="00D26260" w:rsidP="004C5126">
      <w:pPr>
        <w:numPr>
          <w:ilvl w:val="0"/>
          <w:numId w:val="1"/>
        </w:numPr>
        <w:spacing w:after="120" w:line="240" w:lineRule="auto"/>
        <w:ind w:left="357" w:hanging="357"/>
        <w:jc w:val="both"/>
        <w:rPr>
          <w:rFonts w:eastAsia="Times New Roman" w:cs="Times New Roman"/>
          <w:szCs w:val="24"/>
          <w:lang w:eastAsia="lt-LT"/>
        </w:rPr>
      </w:pPr>
      <w:r w:rsidRPr="00D26260">
        <w:rPr>
          <w:rFonts w:eastAsia="Times New Roman" w:cs="Times New Roman"/>
          <w:szCs w:val="24"/>
          <w:lang w:eastAsia="lt-LT"/>
        </w:rPr>
        <w:t>Kasaciniame teisme išlaidų, susijusių su procesinių dokumentų įteikimu, nebuvo patirta, todėl jų atlyginimo klausimas nesprendžiamas (</w:t>
      </w:r>
      <w:bookmarkStart w:id="42" w:name="n1a1c144d-62b8-4f48-9a22-42b21c614f1c"/>
      <w:r w:rsidR="0042695B" w:rsidRPr="00D26260">
        <w:rPr>
          <w:rFonts w:eastAsia="Times New Roman" w:cs="Times New Roman"/>
          <w:szCs w:val="24"/>
          <w:lang w:eastAsia="lt-LT"/>
        </w:rPr>
        <w:fldChar w:fldCharType="begin"/>
      </w:r>
      <w:r w:rsidRPr="00D26260">
        <w:rPr>
          <w:rFonts w:eastAsia="Times New Roman" w:cs="Times New Roman"/>
          <w:szCs w:val="24"/>
          <w:lang w:eastAsia="lt-LT"/>
        </w:rPr>
        <w:instrText>HYPERLINK "https://www.infolex.lt/ta/77554" \o "Lietuvos Respublikos civilinio proceso kodeksas" \t "_blank"</w:instrText>
      </w:r>
      <w:r w:rsidR="0042695B" w:rsidRPr="00D26260">
        <w:rPr>
          <w:rFonts w:eastAsia="Times New Roman" w:cs="Times New Roman"/>
          <w:szCs w:val="24"/>
          <w:lang w:eastAsia="lt-LT"/>
        </w:rPr>
      </w:r>
      <w:r w:rsidR="0042695B" w:rsidRPr="00D26260">
        <w:rPr>
          <w:rFonts w:eastAsia="Times New Roman" w:cs="Times New Roman"/>
          <w:szCs w:val="24"/>
          <w:lang w:eastAsia="lt-LT"/>
        </w:rPr>
        <w:fldChar w:fldCharType="separate"/>
      </w:r>
      <w:r w:rsidRPr="00D26260">
        <w:rPr>
          <w:lang w:eastAsia="lt-LT"/>
        </w:rPr>
        <w:t>CPK</w:t>
      </w:r>
      <w:r w:rsidR="0042695B" w:rsidRPr="00D26260">
        <w:rPr>
          <w:rFonts w:eastAsia="Times New Roman" w:cs="Times New Roman"/>
          <w:szCs w:val="24"/>
          <w:lang w:eastAsia="lt-LT"/>
        </w:rPr>
        <w:fldChar w:fldCharType="end"/>
      </w:r>
      <w:bookmarkStart w:id="43" w:name="pn1a1c144d-62b8-4f48-9a22-42b21c614f1c"/>
      <w:bookmarkEnd w:id="42"/>
      <w:bookmarkEnd w:id="43"/>
      <w:r w:rsidRPr="00D26260">
        <w:rPr>
          <w:rFonts w:eastAsia="Times New Roman" w:cs="Times New Roman"/>
          <w:szCs w:val="24"/>
          <w:lang w:eastAsia="lt-LT"/>
        </w:rPr>
        <w:t> </w:t>
      </w:r>
      <w:bookmarkStart w:id="44" w:name="nfa3b29dd-13e1-4994-a385-5dd84597a413"/>
      <w:r w:rsidR="0042695B" w:rsidRPr="00D26260">
        <w:rPr>
          <w:rFonts w:eastAsia="Times New Roman" w:cs="Times New Roman"/>
          <w:szCs w:val="24"/>
          <w:lang w:eastAsia="lt-LT"/>
        </w:rPr>
        <w:fldChar w:fldCharType="begin"/>
      </w:r>
      <w:r w:rsidRPr="00D26260">
        <w:rPr>
          <w:rFonts w:eastAsia="Times New Roman" w:cs="Times New Roman"/>
          <w:szCs w:val="24"/>
          <w:lang w:eastAsia="lt-LT"/>
        </w:rPr>
        <w:instrText>HYPERLINK "https://www.infolex.lt/tp/2159725" \o "Bylinėjimosi išlaidų atlyginimas valstybei" \t "_blank"</w:instrText>
      </w:r>
      <w:r w:rsidR="0042695B" w:rsidRPr="00D26260">
        <w:rPr>
          <w:rFonts w:eastAsia="Times New Roman" w:cs="Times New Roman"/>
          <w:szCs w:val="24"/>
          <w:lang w:eastAsia="lt-LT"/>
        </w:rPr>
      </w:r>
      <w:r w:rsidR="0042695B" w:rsidRPr="00D26260">
        <w:rPr>
          <w:rFonts w:eastAsia="Times New Roman" w:cs="Times New Roman"/>
          <w:szCs w:val="24"/>
          <w:lang w:eastAsia="lt-LT"/>
        </w:rPr>
        <w:fldChar w:fldCharType="separate"/>
      </w:r>
      <w:r w:rsidRPr="00D26260">
        <w:rPr>
          <w:lang w:eastAsia="lt-LT"/>
        </w:rPr>
        <w:t>96</w:t>
      </w:r>
      <w:r w:rsidR="0042695B" w:rsidRPr="00D26260">
        <w:rPr>
          <w:rFonts w:eastAsia="Times New Roman" w:cs="Times New Roman"/>
          <w:szCs w:val="24"/>
          <w:lang w:eastAsia="lt-LT"/>
        </w:rPr>
        <w:fldChar w:fldCharType="end"/>
      </w:r>
      <w:bookmarkStart w:id="45" w:name="pnfa3b29dd-13e1-4994-a385-5dd84597a413"/>
      <w:bookmarkEnd w:id="44"/>
      <w:bookmarkEnd w:id="45"/>
      <w:r w:rsidRPr="00D26260">
        <w:rPr>
          <w:rFonts w:eastAsia="Times New Roman" w:cs="Times New Roman"/>
          <w:szCs w:val="24"/>
          <w:lang w:eastAsia="lt-LT"/>
        </w:rPr>
        <w:t> straipsnio 6 dalis)</w:t>
      </w:r>
      <w:r>
        <w:rPr>
          <w:rFonts w:eastAsia="Times New Roman" w:cs="Times New Roman"/>
          <w:szCs w:val="24"/>
          <w:lang w:eastAsia="lt-LT"/>
        </w:rPr>
        <w:t>.</w:t>
      </w:r>
    </w:p>
    <w:p w14:paraId="5808A02B" w14:textId="77777777" w:rsidR="001219A1" w:rsidRPr="0013069A" w:rsidRDefault="001219A1" w:rsidP="00CE70E2">
      <w:pPr>
        <w:spacing w:after="120" w:line="240" w:lineRule="auto"/>
        <w:jc w:val="both"/>
        <w:rPr>
          <w:rFonts w:eastAsia="Times New Roman" w:cs="Times New Roman"/>
          <w:szCs w:val="24"/>
          <w:lang w:eastAsia="lt-LT"/>
        </w:rPr>
      </w:pPr>
    </w:p>
    <w:p w14:paraId="6D73BF94" w14:textId="6D7F547D" w:rsidR="00AC00DC" w:rsidRPr="0013069A" w:rsidRDefault="00AC00DC" w:rsidP="00AC00DC">
      <w:pPr>
        <w:spacing w:after="0" w:line="240" w:lineRule="auto"/>
        <w:ind w:left="55" w:firstLine="660"/>
        <w:jc w:val="both"/>
        <w:rPr>
          <w:rFonts w:eastAsia="Times New Roman" w:cs="Times New Roman"/>
          <w:szCs w:val="24"/>
          <w:lang w:eastAsia="lt-LT"/>
        </w:rPr>
      </w:pPr>
      <w:r w:rsidRPr="0013069A">
        <w:rPr>
          <w:rFonts w:eastAsia="Times New Roman" w:cs="Times New Roman"/>
          <w:szCs w:val="24"/>
          <w:lang w:eastAsia="lt-LT"/>
        </w:rPr>
        <w:lastRenderedPageBreak/>
        <w:t xml:space="preserve">Lietuvos Aukščiausiojo Teismo Civilinių bylų skyriaus teisėjų kolegija, vadovaudamasi Lietuvos Respublikos civilinio proceso kodekso 359 straipsnio 1 dalies </w:t>
      </w:r>
      <w:r w:rsidR="009E6E68">
        <w:rPr>
          <w:rFonts w:eastAsia="Times New Roman" w:cs="Times New Roman"/>
          <w:szCs w:val="24"/>
          <w:lang w:eastAsia="lt-LT"/>
        </w:rPr>
        <w:t>1</w:t>
      </w:r>
      <w:r w:rsidRPr="0013069A">
        <w:rPr>
          <w:rFonts w:eastAsia="Times New Roman" w:cs="Times New Roman"/>
          <w:szCs w:val="24"/>
          <w:lang w:eastAsia="lt-LT"/>
        </w:rPr>
        <w:t>punkt</w:t>
      </w:r>
      <w:r w:rsidR="007368B4" w:rsidRPr="0013069A">
        <w:rPr>
          <w:rFonts w:eastAsia="Times New Roman" w:cs="Times New Roman"/>
          <w:szCs w:val="24"/>
          <w:lang w:eastAsia="lt-LT"/>
        </w:rPr>
        <w:t>u</w:t>
      </w:r>
      <w:r w:rsidRPr="0013069A">
        <w:rPr>
          <w:rFonts w:eastAsia="Times New Roman" w:cs="Times New Roman"/>
          <w:szCs w:val="24"/>
          <w:lang w:eastAsia="lt-LT"/>
        </w:rPr>
        <w:t xml:space="preserve"> ir 362 straipsni</w:t>
      </w:r>
      <w:r w:rsidR="00B044A2" w:rsidRPr="0013069A">
        <w:rPr>
          <w:rFonts w:eastAsia="Times New Roman" w:cs="Times New Roman"/>
          <w:szCs w:val="24"/>
          <w:lang w:eastAsia="lt-LT"/>
        </w:rPr>
        <w:t>o 1</w:t>
      </w:r>
      <w:r w:rsidR="00AC3C4A">
        <w:rPr>
          <w:rFonts w:eastAsia="Times New Roman" w:cs="Times New Roman"/>
          <w:szCs w:val="24"/>
          <w:lang w:eastAsia="lt-LT"/>
        </w:rPr>
        <w:t> </w:t>
      </w:r>
      <w:r w:rsidR="00B044A2" w:rsidRPr="0013069A">
        <w:rPr>
          <w:rFonts w:eastAsia="Times New Roman" w:cs="Times New Roman"/>
          <w:szCs w:val="24"/>
          <w:lang w:eastAsia="lt-LT"/>
        </w:rPr>
        <w:t>dalimi</w:t>
      </w:r>
      <w:r w:rsidRPr="0013069A">
        <w:rPr>
          <w:rFonts w:eastAsia="Times New Roman" w:cs="Times New Roman"/>
          <w:szCs w:val="24"/>
          <w:lang w:eastAsia="lt-LT"/>
        </w:rPr>
        <w:t>,</w:t>
      </w:r>
    </w:p>
    <w:p w14:paraId="0C89886E" w14:textId="77777777" w:rsidR="00AC00DC" w:rsidRPr="0013069A" w:rsidRDefault="00AC00DC" w:rsidP="006D1AE3">
      <w:pPr>
        <w:spacing w:after="0" w:line="240" w:lineRule="auto"/>
        <w:ind w:firstLine="720"/>
        <w:jc w:val="both"/>
        <w:rPr>
          <w:rFonts w:eastAsia="Times New Roman" w:cs="Times New Roman"/>
          <w:szCs w:val="24"/>
          <w:lang w:eastAsia="lt-LT"/>
        </w:rPr>
      </w:pPr>
    </w:p>
    <w:p w14:paraId="13439A96" w14:textId="77777777" w:rsidR="00AC00DC" w:rsidRPr="0013069A" w:rsidRDefault="00AC00DC" w:rsidP="00B963DF">
      <w:pPr>
        <w:spacing w:after="0" w:line="240" w:lineRule="auto"/>
        <w:jc w:val="both"/>
        <w:rPr>
          <w:rFonts w:eastAsia="Times New Roman" w:cs="Times New Roman"/>
          <w:szCs w:val="24"/>
          <w:lang w:eastAsia="lt-LT"/>
        </w:rPr>
      </w:pPr>
      <w:r w:rsidRPr="0013069A">
        <w:rPr>
          <w:rFonts w:eastAsia="Times New Roman" w:cs="Times New Roman"/>
          <w:szCs w:val="24"/>
          <w:lang w:eastAsia="lt-LT"/>
        </w:rPr>
        <w:t>n u t a r i a :</w:t>
      </w:r>
    </w:p>
    <w:p w14:paraId="238E2FEE" w14:textId="77777777" w:rsidR="00AC00DC" w:rsidRPr="0013069A" w:rsidRDefault="00AC00DC" w:rsidP="006D1AE3">
      <w:pPr>
        <w:spacing w:after="0" w:line="240" w:lineRule="auto"/>
        <w:ind w:firstLine="720"/>
        <w:jc w:val="both"/>
        <w:rPr>
          <w:rFonts w:eastAsia="Times New Roman" w:cs="Times New Roman"/>
          <w:szCs w:val="24"/>
          <w:lang w:eastAsia="lt-LT"/>
        </w:rPr>
      </w:pPr>
    </w:p>
    <w:p w14:paraId="20D18339" w14:textId="320CB961" w:rsidR="00494F26" w:rsidRDefault="005610FC" w:rsidP="00AC00DC">
      <w:pPr>
        <w:spacing w:after="0" w:line="240" w:lineRule="auto"/>
        <w:ind w:left="55" w:firstLine="660"/>
        <w:jc w:val="both"/>
        <w:rPr>
          <w:bCs/>
          <w:lang w:bidi="lt-LT"/>
        </w:rPr>
      </w:pPr>
      <w:r>
        <w:rPr>
          <w:bCs/>
          <w:lang w:bidi="lt-LT"/>
        </w:rPr>
        <w:t>Lietuvos apeliacinio teismo</w:t>
      </w:r>
      <w:r w:rsidR="00494F26" w:rsidRPr="00494F26">
        <w:rPr>
          <w:bCs/>
          <w:lang w:bidi="lt-LT"/>
        </w:rPr>
        <w:t xml:space="preserve"> Civilinių bylų skyriaus teisėjų kolegijos 202</w:t>
      </w:r>
      <w:r>
        <w:rPr>
          <w:bCs/>
          <w:lang w:bidi="lt-LT"/>
        </w:rPr>
        <w:t>3</w:t>
      </w:r>
      <w:r w:rsidR="00494F26" w:rsidRPr="00494F26">
        <w:rPr>
          <w:bCs/>
          <w:lang w:bidi="lt-LT"/>
        </w:rPr>
        <w:t xml:space="preserve"> m. </w:t>
      </w:r>
      <w:r>
        <w:rPr>
          <w:bCs/>
          <w:lang w:bidi="lt-LT"/>
        </w:rPr>
        <w:t>vasario</w:t>
      </w:r>
      <w:r w:rsidR="00460311">
        <w:rPr>
          <w:bCs/>
          <w:lang w:bidi="lt-LT"/>
        </w:rPr>
        <w:t xml:space="preserve"> </w:t>
      </w:r>
      <w:r>
        <w:rPr>
          <w:bCs/>
          <w:lang w:bidi="lt-LT"/>
        </w:rPr>
        <w:t>7</w:t>
      </w:r>
      <w:r w:rsidR="00494F26" w:rsidRPr="00494F26">
        <w:rPr>
          <w:bCs/>
          <w:lang w:bidi="lt-LT"/>
        </w:rPr>
        <w:t xml:space="preserve"> d. nutartį </w:t>
      </w:r>
      <w:r w:rsidR="009E6E68">
        <w:rPr>
          <w:bCs/>
          <w:lang w:bidi="lt-LT"/>
        </w:rPr>
        <w:t>palikti nepakeistą.</w:t>
      </w:r>
    </w:p>
    <w:p w14:paraId="20A3D94E" w14:textId="77777777" w:rsidR="00AC00DC" w:rsidRPr="0013069A" w:rsidRDefault="00AC00DC" w:rsidP="00AC00DC">
      <w:pPr>
        <w:spacing w:after="0" w:line="240" w:lineRule="auto"/>
        <w:ind w:left="55" w:firstLine="660"/>
        <w:jc w:val="both"/>
        <w:rPr>
          <w:rFonts w:eastAsia="Times New Roman" w:cs="Times New Roman"/>
          <w:szCs w:val="24"/>
          <w:lang w:eastAsia="lt-LT"/>
        </w:rPr>
      </w:pPr>
      <w:r w:rsidRPr="0013069A">
        <w:rPr>
          <w:rFonts w:eastAsia="Times New Roman" w:cs="Times New Roman"/>
          <w:szCs w:val="24"/>
          <w:lang w:eastAsia="lt-LT"/>
        </w:rPr>
        <w:t>Ši Lietuvos Aukščiausiojo Teismo nutartis yra galutinė, neskundžiama ir įsiteisėja nuo priėmimo dienos.</w:t>
      </w:r>
    </w:p>
    <w:p w14:paraId="48D456A2" w14:textId="77777777" w:rsidR="00AC00DC" w:rsidRPr="0013069A" w:rsidRDefault="00AC00DC" w:rsidP="00875177">
      <w:pPr>
        <w:spacing w:after="0" w:line="240" w:lineRule="auto"/>
        <w:ind w:left="55" w:firstLine="660"/>
        <w:jc w:val="both"/>
        <w:rPr>
          <w:rFonts w:eastAsia="Times New Roman" w:cs="Times New Roman"/>
          <w:szCs w:val="24"/>
          <w:lang w:eastAsia="lt-LT"/>
        </w:rPr>
      </w:pPr>
    </w:p>
    <w:p w14:paraId="150C61C4" w14:textId="77777777" w:rsidR="004D02DD" w:rsidRPr="0013069A" w:rsidRDefault="004D02DD" w:rsidP="00875177">
      <w:pPr>
        <w:spacing w:after="0" w:line="240" w:lineRule="auto"/>
        <w:ind w:left="55" w:firstLine="660"/>
        <w:jc w:val="both"/>
        <w:rPr>
          <w:rFonts w:eastAsia="Times New Roman" w:cs="Times New Roman"/>
          <w:szCs w:val="24"/>
          <w:lang w:eastAsia="lt-LT"/>
        </w:rPr>
      </w:pPr>
    </w:p>
    <w:p w14:paraId="170F58AC" w14:textId="0AE7D08F" w:rsidR="00494F26" w:rsidRDefault="00AC00DC" w:rsidP="00E06BD1">
      <w:pPr>
        <w:spacing w:after="0" w:line="240" w:lineRule="auto"/>
        <w:jc w:val="both"/>
        <w:rPr>
          <w:rFonts w:eastAsia="Times New Roman" w:cs="Times New Roman"/>
          <w:szCs w:val="24"/>
        </w:rPr>
      </w:pPr>
      <w:bookmarkStart w:id="46" w:name="_Hlk72834038"/>
      <w:r w:rsidRPr="0013069A">
        <w:rPr>
          <w:rFonts w:eastAsia="Times New Roman" w:cs="Times New Roman"/>
          <w:szCs w:val="24"/>
        </w:rPr>
        <w:t>Teisėj</w:t>
      </w:r>
      <w:r w:rsidR="00A0201B">
        <w:rPr>
          <w:rFonts w:eastAsia="Times New Roman" w:cs="Times New Roman"/>
          <w:szCs w:val="24"/>
        </w:rPr>
        <w:t>ai</w:t>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0524AE">
        <w:rPr>
          <w:rFonts w:eastAsia="Times New Roman" w:cs="Times New Roman"/>
          <w:szCs w:val="24"/>
        </w:rPr>
        <w:t xml:space="preserve">             </w:t>
      </w:r>
      <w:r w:rsidR="00A0201B">
        <w:rPr>
          <w:rFonts w:eastAsia="Times New Roman" w:cs="Times New Roman"/>
          <w:szCs w:val="24"/>
        </w:rPr>
        <w:t xml:space="preserve">Artūras </w:t>
      </w:r>
      <w:proofErr w:type="spellStart"/>
      <w:r w:rsidR="00A0201B">
        <w:rPr>
          <w:rFonts w:eastAsia="Times New Roman" w:cs="Times New Roman"/>
          <w:szCs w:val="24"/>
        </w:rPr>
        <w:t>Driukas</w:t>
      </w:r>
      <w:proofErr w:type="spellEnd"/>
    </w:p>
    <w:p w14:paraId="42C9885D" w14:textId="77777777" w:rsidR="00494F26" w:rsidRDefault="00494F26" w:rsidP="00E06BD1">
      <w:pPr>
        <w:spacing w:after="0" w:line="240" w:lineRule="auto"/>
        <w:ind w:left="709"/>
        <w:jc w:val="center"/>
        <w:rPr>
          <w:rFonts w:eastAsia="Times New Roman" w:cs="Times New Roman"/>
          <w:szCs w:val="24"/>
        </w:rPr>
      </w:pPr>
    </w:p>
    <w:p w14:paraId="4881355F" w14:textId="77777777" w:rsidR="00494F26" w:rsidRDefault="00494F26" w:rsidP="0038088C">
      <w:pPr>
        <w:spacing w:after="0" w:line="240" w:lineRule="auto"/>
        <w:ind w:left="709"/>
        <w:jc w:val="both"/>
        <w:rPr>
          <w:rFonts w:eastAsia="Times New Roman" w:cs="Times New Roman"/>
          <w:szCs w:val="24"/>
        </w:rPr>
      </w:pPr>
    </w:p>
    <w:p w14:paraId="1FE95255" w14:textId="77777777" w:rsidR="00494F26" w:rsidRDefault="00B963DF" w:rsidP="00494F26">
      <w:pPr>
        <w:spacing w:after="0" w:line="240" w:lineRule="auto"/>
        <w:ind w:left="6441" w:firstLine="113"/>
        <w:jc w:val="both"/>
        <w:rPr>
          <w:rFonts w:eastAsia="Times New Roman" w:cs="Times New Roman"/>
          <w:szCs w:val="24"/>
        </w:rPr>
      </w:pPr>
      <w:r>
        <w:rPr>
          <w:rFonts w:eastAsia="Times New Roman" w:cs="Times New Roman"/>
          <w:szCs w:val="24"/>
        </w:rPr>
        <w:t>Virgilijus Grabinskas</w:t>
      </w:r>
    </w:p>
    <w:p w14:paraId="55085208" w14:textId="77777777" w:rsidR="00494F26" w:rsidRDefault="00494F26" w:rsidP="00494F26">
      <w:pPr>
        <w:spacing w:after="0" w:line="240" w:lineRule="auto"/>
        <w:ind w:left="6441" w:firstLine="113"/>
        <w:jc w:val="both"/>
        <w:rPr>
          <w:rFonts w:eastAsia="Times New Roman" w:cs="Times New Roman"/>
          <w:szCs w:val="24"/>
        </w:rPr>
      </w:pPr>
    </w:p>
    <w:p w14:paraId="3B3FDDDD" w14:textId="77777777" w:rsidR="00494F26" w:rsidRDefault="00494F26" w:rsidP="00494F26">
      <w:pPr>
        <w:spacing w:after="0" w:line="240" w:lineRule="auto"/>
        <w:ind w:left="6441" w:firstLine="113"/>
        <w:jc w:val="both"/>
        <w:rPr>
          <w:rFonts w:eastAsia="Times New Roman" w:cs="Times New Roman"/>
          <w:szCs w:val="24"/>
        </w:rPr>
      </w:pPr>
    </w:p>
    <w:bookmarkEnd w:id="46"/>
    <w:p w14:paraId="1C2F42C6" w14:textId="77777777" w:rsidR="009550BF" w:rsidRDefault="00B963DF" w:rsidP="009550BF">
      <w:pPr>
        <w:spacing w:after="0" w:line="240" w:lineRule="auto"/>
        <w:ind w:left="6441" w:firstLine="113"/>
        <w:jc w:val="both"/>
        <w:rPr>
          <w:rFonts w:eastAsia="Times New Roman" w:cs="Times New Roman"/>
          <w:szCs w:val="24"/>
        </w:rPr>
      </w:pPr>
      <w:r>
        <w:rPr>
          <w:rFonts w:eastAsia="Times New Roman" w:cs="Times New Roman"/>
          <w:szCs w:val="24"/>
        </w:rPr>
        <w:t>Agnė Tikniūtė</w:t>
      </w:r>
    </w:p>
    <w:p w14:paraId="5C217773" w14:textId="77777777" w:rsidR="009550BF" w:rsidRDefault="009550BF" w:rsidP="009550BF">
      <w:pPr>
        <w:spacing w:after="0" w:line="240" w:lineRule="auto"/>
        <w:jc w:val="both"/>
        <w:rPr>
          <w:rFonts w:eastAsia="Times New Roman" w:cs="Times New Roman"/>
          <w:szCs w:val="24"/>
        </w:rPr>
      </w:pPr>
    </w:p>
    <w:p w14:paraId="0AF06899" w14:textId="77777777" w:rsidR="009550BF" w:rsidRDefault="009550BF" w:rsidP="009550BF">
      <w:pPr>
        <w:spacing w:after="0" w:line="240" w:lineRule="auto"/>
        <w:jc w:val="both"/>
        <w:rPr>
          <w:rFonts w:eastAsia="Times New Roman" w:cs="Times New Roman"/>
          <w:szCs w:val="24"/>
        </w:rPr>
      </w:pPr>
    </w:p>
    <w:p w14:paraId="43E965B0" w14:textId="77777777" w:rsidR="009550BF" w:rsidRDefault="009550BF" w:rsidP="009550BF">
      <w:pPr>
        <w:spacing w:after="0" w:line="240" w:lineRule="auto"/>
        <w:jc w:val="both"/>
        <w:rPr>
          <w:rFonts w:eastAsia="Times New Roman" w:cs="Times New Roman"/>
          <w:szCs w:val="24"/>
        </w:rPr>
      </w:pPr>
    </w:p>
    <w:p w14:paraId="6BEEDBF0" w14:textId="77777777" w:rsidR="009550BF" w:rsidRDefault="009550BF" w:rsidP="009550BF">
      <w:pPr>
        <w:spacing w:after="0" w:line="240" w:lineRule="auto"/>
        <w:jc w:val="both"/>
        <w:rPr>
          <w:rFonts w:eastAsia="Times New Roman" w:cs="Times New Roman"/>
          <w:szCs w:val="24"/>
        </w:rPr>
      </w:pPr>
    </w:p>
    <w:p w14:paraId="45787F92" w14:textId="77777777" w:rsidR="009550BF" w:rsidRDefault="009550BF" w:rsidP="009550BF">
      <w:pPr>
        <w:spacing w:after="0"/>
        <w:jc w:val="both"/>
        <w:rPr>
          <w:rFonts w:eastAsia="Times New Roman" w:cs="Times New Roman"/>
          <w:szCs w:val="24"/>
          <w:lang w:bidi="lt-LT"/>
        </w:rPr>
      </w:pPr>
    </w:p>
    <w:p w14:paraId="3AC2E7C5" w14:textId="77777777" w:rsidR="009550BF" w:rsidRPr="009550BF" w:rsidRDefault="009550BF" w:rsidP="009550BF">
      <w:pPr>
        <w:spacing w:after="0"/>
        <w:jc w:val="both"/>
        <w:rPr>
          <w:rFonts w:eastAsia="Times New Roman" w:cs="Times New Roman"/>
          <w:szCs w:val="24"/>
          <w:lang w:bidi="lt-LT"/>
        </w:rPr>
      </w:pPr>
    </w:p>
    <w:p w14:paraId="62424156" w14:textId="77777777" w:rsidR="00EB128F" w:rsidRDefault="00EB128F" w:rsidP="009550BF">
      <w:pPr>
        <w:spacing w:after="0" w:line="240" w:lineRule="auto"/>
        <w:jc w:val="both"/>
        <w:rPr>
          <w:rFonts w:eastAsia="Times New Roman" w:cs="Times New Roman"/>
          <w:b/>
          <w:bCs/>
          <w:i/>
          <w:iCs/>
          <w:szCs w:val="24"/>
          <w:u w:val="single"/>
        </w:rPr>
      </w:pPr>
    </w:p>
    <w:p w14:paraId="22D1791B" w14:textId="77777777" w:rsidR="00EB128F" w:rsidRPr="00EB128F" w:rsidRDefault="00EB128F" w:rsidP="009550BF">
      <w:pPr>
        <w:spacing w:after="0" w:line="240" w:lineRule="auto"/>
        <w:jc w:val="both"/>
        <w:rPr>
          <w:rFonts w:eastAsia="Times New Roman" w:cs="Times New Roman"/>
          <w:szCs w:val="24"/>
        </w:rPr>
      </w:pPr>
    </w:p>
    <w:sectPr w:rsidR="00EB128F" w:rsidRPr="00EB128F" w:rsidSect="00184D59">
      <w:headerReference w:type="default" r:id="rId16"/>
      <w:headerReference w:type="first" r:id="rId17"/>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2BDBA" w14:textId="77777777" w:rsidR="00F67B5E" w:rsidRDefault="00F67B5E">
      <w:pPr>
        <w:spacing w:after="0" w:line="240" w:lineRule="auto"/>
      </w:pPr>
      <w:r>
        <w:separator/>
      </w:r>
    </w:p>
  </w:endnote>
  <w:endnote w:type="continuationSeparator" w:id="0">
    <w:p w14:paraId="1ECC2F10" w14:textId="77777777" w:rsidR="00F67B5E" w:rsidRDefault="00F67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ACD4C" w14:textId="77777777" w:rsidR="00F67B5E" w:rsidRDefault="00F67B5E">
      <w:pPr>
        <w:spacing w:after="0" w:line="240" w:lineRule="auto"/>
      </w:pPr>
      <w:r>
        <w:separator/>
      </w:r>
    </w:p>
  </w:footnote>
  <w:footnote w:type="continuationSeparator" w:id="0">
    <w:p w14:paraId="61E1C3C3" w14:textId="77777777" w:rsidR="00F67B5E" w:rsidRDefault="00F67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545648"/>
      <w:docPartObj>
        <w:docPartGallery w:val="Page Numbers (Top of Page)"/>
        <w:docPartUnique/>
      </w:docPartObj>
    </w:sdtPr>
    <w:sdtContent>
      <w:p w14:paraId="31B30977" w14:textId="1D45C9FC" w:rsidR="007162D8" w:rsidRDefault="007162D8">
        <w:pPr>
          <w:pStyle w:val="Antrats"/>
          <w:jc w:val="center"/>
        </w:pPr>
        <w:r>
          <w:fldChar w:fldCharType="begin"/>
        </w:r>
        <w:r>
          <w:instrText>PAGE   \* MERGEFORMAT</w:instrText>
        </w:r>
        <w:r>
          <w:fldChar w:fldCharType="separate"/>
        </w:r>
        <w:r>
          <w:t>2</w:t>
        </w:r>
        <w:r>
          <w:fldChar w:fldCharType="end"/>
        </w:r>
      </w:p>
    </w:sdtContent>
  </w:sdt>
  <w:p w14:paraId="6F461D96" w14:textId="77777777" w:rsidR="004F66CB" w:rsidRDefault="004F66C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F29E" w14:textId="77777777" w:rsidR="004F66CB" w:rsidRDefault="004F66CB">
    <w:pPr>
      <w:pStyle w:val="Antrats1"/>
      <w:jc w:val="center"/>
    </w:pPr>
  </w:p>
  <w:p w14:paraId="40E08D69" w14:textId="77777777" w:rsidR="004F66CB" w:rsidRDefault="004F66CB">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2B2FE"/>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D8548B"/>
    <w:multiLevelType w:val="multilevel"/>
    <w:tmpl w:val="04270029"/>
    <w:lvl w:ilvl="0">
      <w:start w:val="1"/>
      <w:numFmt w:val="decimal"/>
      <w:pStyle w:val="Antrat1"/>
      <w:suff w:val="space"/>
      <w:lvlText w:val="%1 skyrius"/>
      <w:lvlJc w:val="left"/>
      <w:pPr>
        <w:ind w:left="0" w:firstLine="0"/>
      </w:pPr>
    </w:lvl>
    <w:lvl w:ilvl="1">
      <w:start w:val="1"/>
      <w:numFmt w:val="none"/>
      <w:pStyle w:val="Antrat2"/>
      <w:suff w:val="nothing"/>
      <w:lvlText w:val=""/>
      <w:lvlJc w:val="left"/>
      <w:pPr>
        <w:ind w:left="0" w:firstLine="0"/>
      </w:pPr>
    </w:lvl>
    <w:lvl w:ilvl="2">
      <w:start w:val="1"/>
      <w:numFmt w:val="none"/>
      <w:pStyle w:val="Antrat3"/>
      <w:suff w:val="nothing"/>
      <w:lvlText w:val=""/>
      <w:lvlJc w:val="left"/>
      <w:pPr>
        <w:ind w:left="0" w:firstLine="0"/>
      </w:pPr>
    </w:lvl>
    <w:lvl w:ilvl="3">
      <w:start w:val="1"/>
      <w:numFmt w:val="none"/>
      <w:pStyle w:val="Antrat4"/>
      <w:suff w:val="nothing"/>
      <w:lvlText w:val=""/>
      <w:lvlJc w:val="left"/>
      <w:pPr>
        <w:ind w:left="0" w:firstLine="0"/>
      </w:pPr>
    </w:lvl>
    <w:lvl w:ilvl="4">
      <w:start w:val="1"/>
      <w:numFmt w:val="none"/>
      <w:pStyle w:val="Antrat5"/>
      <w:suff w:val="nothing"/>
      <w:lvlText w:val=""/>
      <w:lvlJc w:val="left"/>
      <w:pPr>
        <w:ind w:left="0" w:firstLine="0"/>
      </w:pPr>
    </w:lvl>
    <w:lvl w:ilvl="5">
      <w:start w:val="1"/>
      <w:numFmt w:val="none"/>
      <w:pStyle w:val="Antrat6"/>
      <w:suff w:val="nothing"/>
      <w:lvlText w:val=""/>
      <w:lvlJc w:val="left"/>
      <w:pPr>
        <w:ind w:left="0" w:firstLine="0"/>
      </w:pPr>
    </w:lvl>
    <w:lvl w:ilvl="6">
      <w:start w:val="1"/>
      <w:numFmt w:val="none"/>
      <w:pStyle w:val="Antrat7"/>
      <w:suff w:val="nothing"/>
      <w:lvlText w:val=""/>
      <w:lvlJc w:val="left"/>
      <w:pPr>
        <w:ind w:left="0" w:firstLine="0"/>
      </w:pPr>
    </w:lvl>
    <w:lvl w:ilvl="7">
      <w:start w:val="1"/>
      <w:numFmt w:val="none"/>
      <w:pStyle w:val="Antrat8"/>
      <w:suff w:val="nothing"/>
      <w:lvlText w:val=""/>
      <w:lvlJc w:val="left"/>
      <w:pPr>
        <w:ind w:left="0" w:firstLine="0"/>
      </w:pPr>
    </w:lvl>
    <w:lvl w:ilvl="8">
      <w:start w:val="1"/>
      <w:numFmt w:val="none"/>
      <w:pStyle w:val="Antrat9"/>
      <w:suff w:val="nothing"/>
      <w:lvlText w:val=""/>
      <w:lvlJc w:val="left"/>
      <w:pPr>
        <w:ind w:left="0" w:firstLine="0"/>
      </w:pPr>
    </w:lvl>
  </w:abstractNum>
  <w:abstractNum w:abstractNumId="8" w15:restartNumberingAfterBreak="0">
    <w:nsid w:val="200059FD"/>
    <w:multiLevelType w:val="multilevel"/>
    <w:tmpl w:val="4E4C491A"/>
    <w:lvl w:ilvl="0">
      <w:start w:val="1"/>
      <w:numFmt w:val="decimal"/>
      <w:lvlText w:val="%1."/>
      <w:lvlJc w:val="left"/>
      <w:pPr>
        <w:ind w:left="502" w:hanging="360"/>
      </w:pPr>
      <w:rPr>
        <w:i w:val="0"/>
        <w:color w:val="auto"/>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9" w15:restartNumberingAfterBreak="0">
    <w:nsid w:val="2165629D"/>
    <w:multiLevelType w:val="multilevel"/>
    <w:tmpl w:val="F2985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1" w15:restartNumberingAfterBreak="0">
    <w:nsid w:val="34073762"/>
    <w:multiLevelType w:val="hybridMultilevel"/>
    <w:tmpl w:val="6D2833D0"/>
    <w:lvl w:ilvl="0" w:tplc="5ABAFDC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713349"/>
    <w:multiLevelType w:val="multilevel"/>
    <w:tmpl w:val="91EC9F92"/>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suff w:val="space"/>
      <w:lvlText w:val="%1.%2."/>
      <w:lvlJc w:val="left"/>
      <w:pPr>
        <w:ind w:left="0" w:firstLine="360"/>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62C0F0C"/>
    <w:multiLevelType w:val="multilevel"/>
    <w:tmpl w:val="E6BA1A44"/>
    <w:numStyleLink w:val="Nutartis"/>
  </w:abstractNum>
  <w:abstractNum w:abstractNumId="16"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2023431189">
    <w:abstractNumId w:val="8"/>
  </w:num>
  <w:num w:numId="2" w16cid:durableId="1993749781">
    <w:abstractNumId w:val="6"/>
  </w:num>
  <w:num w:numId="3" w16cid:durableId="1864395421">
    <w:abstractNumId w:val="0"/>
  </w:num>
  <w:num w:numId="4" w16cid:durableId="16544127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4499323">
    <w:abstractNumId w:val="12"/>
  </w:num>
  <w:num w:numId="6" w16cid:durableId="1371103215">
    <w:abstractNumId w:val="16"/>
  </w:num>
  <w:num w:numId="7" w16cid:durableId="14500513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2455905">
    <w:abstractNumId w:val="19"/>
  </w:num>
  <w:num w:numId="9" w16cid:durableId="1529562366">
    <w:abstractNumId w:val="1"/>
  </w:num>
  <w:num w:numId="10" w16cid:durableId="1593508857">
    <w:abstractNumId w:val="13"/>
  </w:num>
  <w:num w:numId="11" w16cid:durableId="425347633">
    <w:abstractNumId w:val="17"/>
  </w:num>
  <w:num w:numId="12" w16cid:durableId="8341070">
    <w:abstractNumId w:val="15"/>
  </w:num>
  <w:num w:numId="13" w16cid:durableId="2009943674">
    <w:abstractNumId w:val="5"/>
  </w:num>
  <w:num w:numId="14" w16cid:durableId="1711222448">
    <w:abstractNumId w:val="4"/>
  </w:num>
  <w:num w:numId="15" w16cid:durableId="18111690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9004431">
    <w:abstractNumId w:val="10"/>
  </w:num>
  <w:num w:numId="17" w16cid:durableId="1329481748">
    <w:abstractNumId w:val="3"/>
  </w:num>
  <w:num w:numId="18" w16cid:durableId="1116942581">
    <w:abstractNumId w:val="14"/>
  </w:num>
  <w:num w:numId="19" w16cid:durableId="1038042905">
    <w:abstractNumId w:val="9"/>
  </w:num>
  <w:num w:numId="20" w16cid:durableId="1450465435">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0DC"/>
    <w:rsid w:val="00002BBC"/>
    <w:rsid w:val="00003870"/>
    <w:rsid w:val="00003DAC"/>
    <w:rsid w:val="000107B3"/>
    <w:rsid w:val="0001305D"/>
    <w:rsid w:val="00017E0F"/>
    <w:rsid w:val="00024012"/>
    <w:rsid w:val="0002688F"/>
    <w:rsid w:val="00027846"/>
    <w:rsid w:val="00031871"/>
    <w:rsid w:val="000326DE"/>
    <w:rsid w:val="00034BEE"/>
    <w:rsid w:val="00034E44"/>
    <w:rsid w:val="00036108"/>
    <w:rsid w:val="000377BB"/>
    <w:rsid w:val="0004133A"/>
    <w:rsid w:val="000418BC"/>
    <w:rsid w:val="00042789"/>
    <w:rsid w:val="0004290C"/>
    <w:rsid w:val="000439FF"/>
    <w:rsid w:val="00044AFE"/>
    <w:rsid w:val="00046D4D"/>
    <w:rsid w:val="00050DB1"/>
    <w:rsid w:val="00050DC7"/>
    <w:rsid w:val="00051064"/>
    <w:rsid w:val="000524AE"/>
    <w:rsid w:val="0005564B"/>
    <w:rsid w:val="00056742"/>
    <w:rsid w:val="00056776"/>
    <w:rsid w:val="000573AE"/>
    <w:rsid w:val="000600AB"/>
    <w:rsid w:val="0006128B"/>
    <w:rsid w:val="00061585"/>
    <w:rsid w:val="000624E7"/>
    <w:rsid w:val="00062D0A"/>
    <w:rsid w:val="00064AE9"/>
    <w:rsid w:val="000675BC"/>
    <w:rsid w:val="00070EF7"/>
    <w:rsid w:val="000727EC"/>
    <w:rsid w:val="00072BFB"/>
    <w:rsid w:val="00076C44"/>
    <w:rsid w:val="00083D68"/>
    <w:rsid w:val="000841DA"/>
    <w:rsid w:val="000844A2"/>
    <w:rsid w:val="000864C7"/>
    <w:rsid w:val="000866B3"/>
    <w:rsid w:val="00091EDC"/>
    <w:rsid w:val="00094E75"/>
    <w:rsid w:val="000974B2"/>
    <w:rsid w:val="00097545"/>
    <w:rsid w:val="000A020F"/>
    <w:rsid w:val="000A07B8"/>
    <w:rsid w:val="000A1DBB"/>
    <w:rsid w:val="000A366E"/>
    <w:rsid w:val="000A5571"/>
    <w:rsid w:val="000A634C"/>
    <w:rsid w:val="000A698A"/>
    <w:rsid w:val="000A7721"/>
    <w:rsid w:val="000A7D41"/>
    <w:rsid w:val="000C0B06"/>
    <w:rsid w:val="000C16BF"/>
    <w:rsid w:val="000C3148"/>
    <w:rsid w:val="000D2929"/>
    <w:rsid w:val="000D4DE6"/>
    <w:rsid w:val="000D6163"/>
    <w:rsid w:val="000E2901"/>
    <w:rsid w:val="000E667E"/>
    <w:rsid w:val="000E6E47"/>
    <w:rsid w:val="000E71AA"/>
    <w:rsid w:val="000E7F16"/>
    <w:rsid w:val="000F11BF"/>
    <w:rsid w:val="000F1C82"/>
    <w:rsid w:val="000F3557"/>
    <w:rsid w:val="000F5596"/>
    <w:rsid w:val="00101496"/>
    <w:rsid w:val="001015E6"/>
    <w:rsid w:val="0010220F"/>
    <w:rsid w:val="00105F8C"/>
    <w:rsid w:val="00106EF5"/>
    <w:rsid w:val="00106EFA"/>
    <w:rsid w:val="0011107A"/>
    <w:rsid w:val="00111778"/>
    <w:rsid w:val="00111B32"/>
    <w:rsid w:val="0011353F"/>
    <w:rsid w:val="00113F81"/>
    <w:rsid w:val="00114A65"/>
    <w:rsid w:val="00114BFA"/>
    <w:rsid w:val="00116F24"/>
    <w:rsid w:val="001219A1"/>
    <w:rsid w:val="00123C27"/>
    <w:rsid w:val="00127A87"/>
    <w:rsid w:val="00127B8B"/>
    <w:rsid w:val="0013069A"/>
    <w:rsid w:val="001310C2"/>
    <w:rsid w:val="00133CEA"/>
    <w:rsid w:val="0013574B"/>
    <w:rsid w:val="001364EE"/>
    <w:rsid w:val="00144EBD"/>
    <w:rsid w:val="0014580A"/>
    <w:rsid w:val="0014705E"/>
    <w:rsid w:val="00151035"/>
    <w:rsid w:val="00155126"/>
    <w:rsid w:val="00155905"/>
    <w:rsid w:val="00162973"/>
    <w:rsid w:val="00170BBF"/>
    <w:rsid w:val="00171447"/>
    <w:rsid w:val="0017151D"/>
    <w:rsid w:val="00176B1E"/>
    <w:rsid w:val="00176D8F"/>
    <w:rsid w:val="00177021"/>
    <w:rsid w:val="0018097D"/>
    <w:rsid w:val="00180B99"/>
    <w:rsid w:val="0018216B"/>
    <w:rsid w:val="00183617"/>
    <w:rsid w:val="00184D59"/>
    <w:rsid w:val="00185A92"/>
    <w:rsid w:val="00185AAA"/>
    <w:rsid w:val="00186374"/>
    <w:rsid w:val="001905A4"/>
    <w:rsid w:val="001905DC"/>
    <w:rsid w:val="00192426"/>
    <w:rsid w:val="001940AC"/>
    <w:rsid w:val="00197C7D"/>
    <w:rsid w:val="001A09B1"/>
    <w:rsid w:val="001A2E00"/>
    <w:rsid w:val="001A622B"/>
    <w:rsid w:val="001B00C1"/>
    <w:rsid w:val="001B0740"/>
    <w:rsid w:val="001B11DD"/>
    <w:rsid w:val="001B1B26"/>
    <w:rsid w:val="001B30BA"/>
    <w:rsid w:val="001C05AE"/>
    <w:rsid w:val="001C0C8B"/>
    <w:rsid w:val="001C0CA8"/>
    <w:rsid w:val="001C2148"/>
    <w:rsid w:val="001C2663"/>
    <w:rsid w:val="001C2CED"/>
    <w:rsid w:val="001D79B6"/>
    <w:rsid w:val="001E05C5"/>
    <w:rsid w:val="001E1EFC"/>
    <w:rsid w:val="001E3D98"/>
    <w:rsid w:val="001E4130"/>
    <w:rsid w:val="001F10C9"/>
    <w:rsid w:val="001F22EC"/>
    <w:rsid w:val="001F3259"/>
    <w:rsid w:val="001F7462"/>
    <w:rsid w:val="00201557"/>
    <w:rsid w:val="002026D5"/>
    <w:rsid w:val="00203E2A"/>
    <w:rsid w:val="00204CCD"/>
    <w:rsid w:val="002052E6"/>
    <w:rsid w:val="002065FF"/>
    <w:rsid w:val="0020752D"/>
    <w:rsid w:val="00210C33"/>
    <w:rsid w:val="00213CE2"/>
    <w:rsid w:val="00215255"/>
    <w:rsid w:val="0021781F"/>
    <w:rsid w:val="0022048A"/>
    <w:rsid w:val="00222F77"/>
    <w:rsid w:val="002240CF"/>
    <w:rsid w:val="00224552"/>
    <w:rsid w:val="00224BEE"/>
    <w:rsid w:val="00226008"/>
    <w:rsid w:val="002300CF"/>
    <w:rsid w:val="00232421"/>
    <w:rsid w:val="00232BF0"/>
    <w:rsid w:val="002366CD"/>
    <w:rsid w:val="00237E7E"/>
    <w:rsid w:val="00240059"/>
    <w:rsid w:val="00241377"/>
    <w:rsid w:val="002423A8"/>
    <w:rsid w:val="002423C3"/>
    <w:rsid w:val="002563ED"/>
    <w:rsid w:val="002572F2"/>
    <w:rsid w:val="00261451"/>
    <w:rsid w:val="00261D43"/>
    <w:rsid w:val="002632FF"/>
    <w:rsid w:val="00263C47"/>
    <w:rsid w:val="00265AAB"/>
    <w:rsid w:val="00266CFD"/>
    <w:rsid w:val="00270487"/>
    <w:rsid w:val="00270637"/>
    <w:rsid w:val="002720EB"/>
    <w:rsid w:val="002727A1"/>
    <w:rsid w:val="00274394"/>
    <w:rsid w:val="0027501B"/>
    <w:rsid w:val="0027517C"/>
    <w:rsid w:val="00275F3D"/>
    <w:rsid w:val="0028038A"/>
    <w:rsid w:val="002827F3"/>
    <w:rsid w:val="00282B41"/>
    <w:rsid w:val="002841F2"/>
    <w:rsid w:val="00286FFF"/>
    <w:rsid w:val="00290F0E"/>
    <w:rsid w:val="00292D8D"/>
    <w:rsid w:val="002A3223"/>
    <w:rsid w:val="002A59B6"/>
    <w:rsid w:val="002A66AF"/>
    <w:rsid w:val="002A6716"/>
    <w:rsid w:val="002A7ADF"/>
    <w:rsid w:val="002B0E71"/>
    <w:rsid w:val="002B2F87"/>
    <w:rsid w:val="002B4670"/>
    <w:rsid w:val="002B7B35"/>
    <w:rsid w:val="002C07FA"/>
    <w:rsid w:val="002C3F40"/>
    <w:rsid w:val="002C41FB"/>
    <w:rsid w:val="002C4E0E"/>
    <w:rsid w:val="002C52FD"/>
    <w:rsid w:val="002C616A"/>
    <w:rsid w:val="002C7717"/>
    <w:rsid w:val="002D34BA"/>
    <w:rsid w:val="002D4D2C"/>
    <w:rsid w:val="002D5CA1"/>
    <w:rsid w:val="002D6078"/>
    <w:rsid w:val="002E6D59"/>
    <w:rsid w:val="002E78F9"/>
    <w:rsid w:val="002F05F4"/>
    <w:rsid w:val="002F2A01"/>
    <w:rsid w:val="002F5318"/>
    <w:rsid w:val="002F689F"/>
    <w:rsid w:val="003041C2"/>
    <w:rsid w:val="00304B00"/>
    <w:rsid w:val="0030524A"/>
    <w:rsid w:val="00306198"/>
    <w:rsid w:val="0030650E"/>
    <w:rsid w:val="00310619"/>
    <w:rsid w:val="003107B4"/>
    <w:rsid w:val="00310E31"/>
    <w:rsid w:val="00314344"/>
    <w:rsid w:val="00314822"/>
    <w:rsid w:val="003148BC"/>
    <w:rsid w:val="003156E8"/>
    <w:rsid w:val="0031780C"/>
    <w:rsid w:val="00317F59"/>
    <w:rsid w:val="003228E8"/>
    <w:rsid w:val="00323F82"/>
    <w:rsid w:val="00324082"/>
    <w:rsid w:val="00324C3D"/>
    <w:rsid w:val="00324C56"/>
    <w:rsid w:val="00324EA4"/>
    <w:rsid w:val="00324F18"/>
    <w:rsid w:val="003250BC"/>
    <w:rsid w:val="00325FE9"/>
    <w:rsid w:val="00327750"/>
    <w:rsid w:val="00327DC8"/>
    <w:rsid w:val="00330E3A"/>
    <w:rsid w:val="00330F0C"/>
    <w:rsid w:val="0033106D"/>
    <w:rsid w:val="00337F84"/>
    <w:rsid w:val="00340DF2"/>
    <w:rsid w:val="00342640"/>
    <w:rsid w:val="00345336"/>
    <w:rsid w:val="0035420D"/>
    <w:rsid w:val="00354688"/>
    <w:rsid w:val="00356205"/>
    <w:rsid w:val="00356E4C"/>
    <w:rsid w:val="00360AC9"/>
    <w:rsid w:val="00363FD8"/>
    <w:rsid w:val="0036670D"/>
    <w:rsid w:val="0037433E"/>
    <w:rsid w:val="0037500E"/>
    <w:rsid w:val="00377C0F"/>
    <w:rsid w:val="00377E7C"/>
    <w:rsid w:val="0038002E"/>
    <w:rsid w:val="0038088C"/>
    <w:rsid w:val="00380FDE"/>
    <w:rsid w:val="00385178"/>
    <w:rsid w:val="003904F5"/>
    <w:rsid w:val="00392C36"/>
    <w:rsid w:val="00392CF8"/>
    <w:rsid w:val="00392EF5"/>
    <w:rsid w:val="00393B9F"/>
    <w:rsid w:val="00394ABF"/>
    <w:rsid w:val="0039593F"/>
    <w:rsid w:val="00396F04"/>
    <w:rsid w:val="003A2FFD"/>
    <w:rsid w:val="003A3F6E"/>
    <w:rsid w:val="003A458E"/>
    <w:rsid w:val="003A4C7D"/>
    <w:rsid w:val="003A5A97"/>
    <w:rsid w:val="003A675C"/>
    <w:rsid w:val="003A68D7"/>
    <w:rsid w:val="003A739E"/>
    <w:rsid w:val="003A75F1"/>
    <w:rsid w:val="003B0EEE"/>
    <w:rsid w:val="003B1757"/>
    <w:rsid w:val="003B366F"/>
    <w:rsid w:val="003B4B10"/>
    <w:rsid w:val="003B7477"/>
    <w:rsid w:val="003C2F0E"/>
    <w:rsid w:val="003C3450"/>
    <w:rsid w:val="003C4AE5"/>
    <w:rsid w:val="003C5425"/>
    <w:rsid w:val="003C6323"/>
    <w:rsid w:val="003C7E4D"/>
    <w:rsid w:val="003C7EFD"/>
    <w:rsid w:val="003D2343"/>
    <w:rsid w:val="003D4B9C"/>
    <w:rsid w:val="003D5A07"/>
    <w:rsid w:val="003D6050"/>
    <w:rsid w:val="003E6896"/>
    <w:rsid w:val="003E72DB"/>
    <w:rsid w:val="003E7BDD"/>
    <w:rsid w:val="003F1F02"/>
    <w:rsid w:val="003F27A0"/>
    <w:rsid w:val="003F3013"/>
    <w:rsid w:val="003F3B4F"/>
    <w:rsid w:val="003F520B"/>
    <w:rsid w:val="003F5288"/>
    <w:rsid w:val="003F7F43"/>
    <w:rsid w:val="00400F9A"/>
    <w:rsid w:val="004013DE"/>
    <w:rsid w:val="004035E5"/>
    <w:rsid w:val="004038CD"/>
    <w:rsid w:val="0040390A"/>
    <w:rsid w:val="00405667"/>
    <w:rsid w:val="004105F5"/>
    <w:rsid w:val="00412873"/>
    <w:rsid w:val="0042045A"/>
    <w:rsid w:val="00421E58"/>
    <w:rsid w:val="0042695B"/>
    <w:rsid w:val="00432A70"/>
    <w:rsid w:val="00433421"/>
    <w:rsid w:val="004351A7"/>
    <w:rsid w:val="004353DA"/>
    <w:rsid w:val="00437D50"/>
    <w:rsid w:val="00447734"/>
    <w:rsid w:val="00450D43"/>
    <w:rsid w:val="00455014"/>
    <w:rsid w:val="00455B31"/>
    <w:rsid w:val="004572D6"/>
    <w:rsid w:val="004578F9"/>
    <w:rsid w:val="004602EB"/>
    <w:rsid w:val="00460311"/>
    <w:rsid w:val="004604EC"/>
    <w:rsid w:val="00460979"/>
    <w:rsid w:val="00461C34"/>
    <w:rsid w:val="00462449"/>
    <w:rsid w:val="004631D9"/>
    <w:rsid w:val="00467215"/>
    <w:rsid w:val="004732D4"/>
    <w:rsid w:val="0047407B"/>
    <w:rsid w:val="00477230"/>
    <w:rsid w:val="00480294"/>
    <w:rsid w:val="00480335"/>
    <w:rsid w:val="00482576"/>
    <w:rsid w:val="0048258B"/>
    <w:rsid w:val="004825C0"/>
    <w:rsid w:val="00482719"/>
    <w:rsid w:val="00483177"/>
    <w:rsid w:val="004831C4"/>
    <w:rsid w:val="004839FC"/>
    <w:rsid w:val="004870B4"/>
    <w:rsid w:val="00490158"/>
    <w:rsid w:val="004908B9"/>
    <w:rsid w:val="00490E94"/>
    <w:rsid w:val="004938AC"/>
    <w:rsid w:val="00493FBC"/>
    <w:rsid w:val="00494F26"/>
    <w:rsid w:val="004952EB"/>
    <w:rsid w:val="00495D97"/>
    <w:rsid w:val="00496112"/>
    <w:rsid w:val="00497A99"/>
    <w:rsid w:val="00497B9F"/>
    <w:rsid w:val="004A0873"/>
    <w:rsid w:val="004A12FF"/>
    <w:rsid w:val="004A2979"/>
    <w:rsid w:val="004A4902"/>
    <w:rsid w:val="004A6B1A"/>
    <w:rsid w:val="004A7A30"/>
    <w:rsid w:val="004A7C0C"/>
    <w:rsid w:val="004A7C53"/>
    <w:rsid w:val="004A7D7F"/>
    <w:rsid w:val="004B2D9C"/>
    <w:rsid w:val="004B5141"/>
    <w:rsid w:val="004B517F"/>
    <w:rsid w:val="004B758E"/>
    <w:rsid w:val="004C30AE"/>
    <w:rsid w:val="004C3CE3"/>
    <w:rsid w:val="004C5126"/>
    <w:rsid w:val="004C59DE"/>
    <w:rsid w:val="004D02DD"/>
    <w:rsid w:val="004D2331"/>
    <w:rsid w:val="004D292B"/>
    <w:rsid w:val="004D756A"/>
    <w:rsid w:val="004E0599"/>
    <w:rsid w:val="004E11C5"/>
    <w:rsid w:val="004E436B"/>
    <w:rsid w:val="004E531C"/>
    <w:rsid w:val="004E5FD8"/>
    <w:rsid w:val="004E75BD"/>
    <w:rsid w:val="004F0C0D"/>
    <w:rsid w:val="004F47AA"/>
    <w:rsid w:val="004F66CB"/>
    <w:rsid w:val="0050222C"/>
    <w:rsid w:val="00502693"/>
    <w:rsid w:val="00504404"/>
    <w:rsid w:val="005046FC"/>
    <w:rsid w:val="00504B2F"/>
    <w:rsid w:val="0051039A"/>
    <w:rsid w:val="0051307D"/>
    <w:rsid w:val="00514A75"/>
    <w:rsid w:val="00516421"/>
    <w:rsid w:val="00517D93"/>
    <w:rsid w:val="00521ACE"/>
    <w:rsid w:val="00522E43"/>
    <w:rsid w:val="00525CA7"/>
    <w:rsid w:val="0052736C"/>
    <w:rsid w:val="00527891"/>
    <w:rsid w:val="00530C0E"/>
    <w:rsid w:val="00532F5F"/>
    <w:rsid w:val="00533B2A"/>
    <w:rsid w:val="00534460"/>
    <w:rsid w:val="00534D3D"/>
    <w:rsid w:val="005374AB"/>
    <w:rsid w:val="005412DD"/>
    <w:rsid w:val="00541FC4"/>
    <w:rsid w:val="00542D43"/>
    <w:rsid w:val="0054319C"/>
    <w:rsid w:val="005441A4"/>
    <w:rsid w:val="005452CE"/>
    <w:rsid w:val="005467F4"/>
    <w:rsid w:val="00551E7E"/>
    <w:rsid w:val="00556850"/>
    <w:rsid w:val="005610FC"/>
    <w:rsid w:val="0056112A"/>
    <w:rsid w:val="00562F9C"/>
    <w:rsid w:val="005642B6"/>
    <w:rsid w:val="005648A8"/>
    <w:rsid w:val="005649BC"/>
    <w:rsid w:val="00564FF3"/>
    <w:rsid w:val="00565F4B"/>
    <w:rsid w:val="0056663B"/>
    <w:rsid w:val="00566DAD"/>
    <w:rsid w:val="00567141"/>
    <w:rsid w:val="005671DF"/>
    <w:rsid w:val="0057305A"/>
    <w:rsid w:val="005731AB"/>
    <w:rsid w:val="0057362A"/>
    <w:rsid w:val="00577B89"/>
    <w:rsid w:val="00586C85"/>
    <w:rsid w:val="005901D0"/>
    <w:rsid w:val="00590E07"/>
    <w:rsid w:val="0059128D"/>
    <w:rsid w:val="00591F7E"/>
    <w:rsid w:val="00592238"/>
    <w:rsid w:val="00593856"/>
    <w:rsid w:val="00594FE3"/>
    <w:rsid w:val="005950A3"/>
    <w:rsid w:val="00595F35"/>
    <w:rsid w:val="00596040"/>
    <w:rsid w:val="005A06E1"/>
    <w:rsid w:val="005A099D"/>
    <w:rsid w:val="005A2EEB"/>
    <w:rsid w:val="005A389D"/>
    <w:rsid w:val="005A4789"/>
    <w:rsid w:val="005A58CD"/>
    <w:rsid w:val="005A6230"/>
    <w:rsid w:val="005A6C90"/>
    <w:rsid w:val="005B13CC"/>
    <w:rsid w:val="005B252D"/>
    <w:rsid w:val="005B3B5D"/>
    <w:rsid w:val="005B4B65"/>
    <w:rsid w:val="005B65CC"/>
    <w:rsid w:val="005B7264"/>
    <w:rsid w:val="005B7310"/>
    <w:rsid w:val="005C4386"/>
    <w:rsid w:val="005C604B"/>
    <w:rsid w:val="005C66CA"/>
    <w:rsid w:val="005C748E"/>
    <w:rsid w:val="005C7822"/>
    <w:rsid w:val="005D156E"/>
    <w:rsid w:val="005D2A18"/>
    <w:rsid w:val="005D63C8"/>
    <w:rsid w:val="005D689E"/>
    <w:rsid w:val="005E2D5F"/>
    <w:rsid w:val="005E5084"/>
    <w:rsid w:val="005E59FE"/>
    <w:rsid w:val="005E62E7"/>
    <w:rsid w:val="005E7174"/>
    <w:rsid w:val="005F0CAD"/>
    <w:rsid w:val="005F0F24"/>
    <w:rsid w:val="005F1396"/>
    <w:rsid w:val="005F1A4C"/>
    <w:rsid w:val="005F28C7"/>
    <w:rsid w:val="005F358B"/>
    <w:rsid w:val="005F4BBA"/>
    <w:rsid w:val="005F593A"/>
    <w:rsid w:val="005F64E7"/>
    <w:rsid w:val="005F6801"/>
    <w:rsid w:val="005F6DCC"/>
    <w:rsid w:val="00600464"/>
    <w:rsid w:val="00600EF4"/>
    <w:rsid w:val="0060345C"/>
    <w:rsid w:val="00605F76"/>
    <w:rsid w:val="006103E0"/>
    <w:rsid w:val="00610C87"/>
    <w:rsid w:val="00610E55"/>
    <w:rsid w:val="0061375D"/>
    <w:rsid w:val="0061383F"/>
    <w:rsid w:val="00613A84"/>
    <w:rsid w:val="006169FB"/>
    <w:rsid w:val="00617EF6"/>
    <w:rsid w:val="006212B5"/>
    <w:rsid w:val="00623CBD"/>
    <w:rsid w:val="00624F88"/>
    <w:rsid w:val="006250FA"/>
    <w:rsid w:val="00630781"/>
    <w:rsid w:val="00634407"/>
    <w:rsid w:val="00635905"/>
    <w:rsid w:val="00635FF2"/>
    <w:rsid w:val="00636300"/>
    <w:rsid w:val="0063631C"/>
    <w:rsid w:val="0063647D"/>
    <w:rsid w:val="00636F9F"/>
    <w:rsid w:val="006371A1"/>
    <w:rsid w:val="00643AD0"/>
    <w:rsid w:val="006462F4"/>
    <w:rsid w:val="00646CA0"/>
    <w:rsid w:val="00651C29"/>
    <w:rsid w:val="006524A0"/>
    <w:rsid w:val="0065365B"/>
    <w:rsid w:val="00654DBC"/>
    <w:rsid w:val="00655284"/>
    <w:rsid w:val="00660F32"/>
    <w:rsid w:val="0066511F"/>
    <w:rsid w:val="00666656"/>
    <w:rsid w:val="00671522"/>
    <w:rsid w:val="0067558B"/>
    <w:rsid w:val="00677B1B"/>
    <w:rsid w:val="006810B5"/>
    <w:rsid w:val="00681490"/>
    <w:rsid w:val="006817D5"/>
    <w:rsid w:val="00682862"/>
    <w:rsid w:val="00683099"/>
    <w:rsid w:val="0068432F"/>
    <w:rsid w:val="00684C5B"/>
    <w:rsid w:val="006865B9"/>
    <w:rsid w:val="0068787A"/>
    <w:rsid w:val="00687D4D"/>
    <w:rsid w:val="00690020"/>
    <w:rsid w:val="006903F7"/>
    <w:rsid w:val="00694C5D"/>
    <w:rsid w:val="006953EA"/>
    <w:rsid w:val="00695930"/>
    <w:rsid w:val="00695F08"/>
    <w:rsid w:val="0069782E"/>
    <w:rsid w:val="006A1125"/>
    <w:rsid w:val="006A1F60"/>
    <w:rsid w:val="006B1DDD"/>
    <w:rsid w:val="006B265F"/>
    <w:rsid w:val="006B28C0"/>
    <w:rsid w:val="006B332A"/>
    <w:rsid w:val="006B3C61"/>
    <w:rsid w:val="006B42E4"/>
    <w:rsid w:val="006B61FA"/>
    <w:rsid w:val="006B62C8"/>
    <w:rsid w:val="006B6BAE"/>
    <w:rsid w:val="006B7DBC"/>
    <w:rsid w:val="006C0045"/>
    <w:rsid w:val="006C38B9"/>
    <w:rsid w:val="006C3B32"/>
    <w:rsid w:val="006C5FD6"/>
    <w:rsid w:val="006C7589"/>
    <w:rsid w:val="006C7F41"/>
    <w:rsid w:val="006D02E8"/>
    <w:rsid w:val="006D0787"/>
    <w:rsid w:val="006D1AE3"/>
    <w:rsid w:val="006D204E"/>
    <w:rsid w:val="006D4506"/>
    <w:rsid w:val="006D5AC5"/>
    <w:rsid w:val="006E138E"/>
    <w:rsid w:val="006E1F2D"/>
    <w:rsid w:val="006E2282"/>
    <w:rsid w:val="006E29C0"/>
    <w:rsid w:val="006E3463"/>
    <w:rsid w:val="006E455F"/>
    <w:rsid w:val="006E5233"/>
    <w:rsid w:val="006E6E6A"/>
    <w:rsid w:val="006E7F8E"/>
    <w:rsid w:val="006F1439"/>
    <w:rsid w:val="006F360A"/>
    <w:rsid w:val="006F4A33"/>
    <w:rsid w:val="006F5115"/>
    <w:rsid w:val="006F5996"/>
    <w:rsid w:val="0070281F"/>
    <w:rsid w:val="007049C7"/>
    <w:rsid w:val="00704F67"/>
    <w:rsid w:val="00707C2D"/>
    <w:rsid w:val="0071093C"/>
    <w:rsid w:val="0071302B"/>
    <w:rsid w:val="00713156"/>
    <w:rsid w:val="0071315F"/>
    <w:rsid w:val="0071468B"/>
    <w:rsid w:val="007162D8"/>
    <w:rsid w:val="00717A0C"/>
    <w:rsid w:val="00720223"/>
    <w:rsid w:val="00722868"/>
    <w:rsid w:val="00724C89"/>
    <w:rsid w:val="00725DCC"/>
    <w:rsid w:val="00726D5C"/>
    <w:rsid w:val="00727C08"/>
    <w:rsid w:val="00730929"/>
    <w:rsid w:val="00731D76"/>
    <w:rsid w:val="007324F7"/>
    <w:rsid w:val="0073358E"/>
    <w:rsid w:val="00733894"/>
    <w:rsid w:val="00733E79"/>
    <w:rsid w:val="00734838"/>
    <w:rsid w:val="00734E10"/>
    <w:rsid w:val="007368B4"/>
    <w:rsid w:val="00736F27"/>
    <w:rsid w:val="007400FB"/>
    <w:rsid w:val="00740312"/>
    <w:rsid w:val="00750CE0"/>
    <w:rsid w:val="0075322A"/>
    <w:rsid w:val="0075354C"/>
    <w:rsid w:val="00754C96"/>
    <w:rsid w:val="007556DE"/>
    <w:rsid w:val="00757221"/>
    <w:rsid w:val="00757297"/>
    <w:rsid w:val="0076093E"/>
    <w:rsid w:val="007640B6"/>
    <w:rsid w:val="007647B1"/>
    <w:rsid w:val="00764B54"/>
    <w:rsid w:val="007673E7"/>
    <w:rsid w:val="007676A7"/>
    <w:rsid w:val="0077066D"/>
    <w:rsid w:val="00770D55"/>
    <w:rsid w:val="0077365A"/>
    <w:rsid w:val="007736AE"/>
    <w:rsid w:val="00775165"/>
    <w:rsid w:val="00777D22"/>
    <w:rsid w:val="00777EF3"/>
    <w:rsid w:val="007803AF"/>
    <w:rsid w:val="00780CA5"/>
    <w:rsid w:val="00781B9B"/>
    <w:rsid w:val="00782521"/>
    <w:rsid w:val="00783EEF"/>
    <w:rsid w:val="00785132"/>
    <w:rsid w:val="00785707"/>
    <w:rsid w:val="00786A8E"/>
    <w:rsid w:val="0078777B"/>
    <w:rsid w:val="00790CDA"/>
    <w:rsid w:val="007943F2"/>
    <w:rsid w:val="00794757"/>
    <w:rsid w:val="00796286"/>
    <w:rsid w:val="007A1B26"/>
    <w:rsid w:val="007A548D"/>
    <w:rsid w:val="007A5D72"/>
    <w:rsid w:val="007A762D"/>
    <w:rsid w:val="007B1AE1"/>
    <w:rsid w:val="007B72E9"/>
    <w:rsid w:val="007C04E6"/>
    <w:rsid w:val="007C0ABA"/>
    <w:rsid w:val="007C1A87"/>
    <w:rsid w:val="007C31F7"/>
    <w:rsid w:val="007C348F"/>
    <w:rsid w:val="007C3492"/>
    <w:rsid w:val="007C417C"/>
    <w:rsid w:val="007C579C"/>
    <w:rsid w:val="007C58F6"/>
    <w:rsid w:val="007D1ABC"/>
    <w:rsid w:val="007D2199"/>
    <w:rsid w:val="007D3248"/>
    <w:rsid w:val="007D3E11"/>
    <w:rsid w:val="007D422F"/>
    <w:rsid w:val="007D53A3"/>
    <w:rsid w:val="007D726D"/>
    <w:rsid w:val="007E03FE"/>
    <w:rsid w:val="007E164E"/>
    <w:rsid w:val="007E3290"/>
    <w:rsid w:val="007E5412"/>
    <w:rsid w:val="007E650F"/>
    <w:rsid w:val="007F18C1"/>
    <w:rsid w:val="007F2779"/>
    <w:rsid w:val="007F5C4C"/>
    <w:rsid w:val="007F6517"/>
    <w:rsid w:val="007F78FE"/>
    <w:rsid w:val="008001CC"/>
    <w:rsid w:val="0080085B"/>
    <w:rsid w:val="00801760"/>
    <w:rsid w:val="00801C6F"/>
    <w:rsid w:val="008023F7"/>
    <w:rsid w:val="008034F4"/>
    <w:rsid w:val="00804401"/>
    <w:rsid w:val="00805D45"/>
    <w:rsid w:val="00805FAE"/>
    <w:rsid w:val="00806E8D"/>
    <w:rsid w:val="0081089D"/>
    <w:rsid w:val="00811250"/>
    <w:rsid w:val="0081217B"/>
    <w:rsid w:val="00812C51"/>
    <w:rsid w:val="00813EB1"/>
    <w:rsid w:val="0081579E"/>
    <w:rsid w:val="00822009"/>
    <w:rsid w:val="00825A6D"/>
    <w:rsid w:val="0082714E"/>
    <w:rsid w:val="00827B9C"/>
    <w:rsid w:val="008305D2"/>
    <w:rsid w:val="008314EE"/>
    <w:rsid w:val="008315F5"/>
    <w:rsid w:val="00832471"/>
    <w:rsid w:val="00832E8A"/>
    <w:rsid w:val="008333B3"/>
    <w:rsid w:val="00833BDE"/>
    <w:rsid w:val="00835E10"/>
    <w:rsid w:val="00836920"/>
    <w:rsid w:val="00837CD5"/>
    <w:rsid w:val="00841F94"/>
    <w:rsid w:val="00843D87"/>
    <w:rsid w:val="008444B6"/>
    <w:rsid w:val="008519A7"/>
    <w:rsid w:val="00851DFD"/>
    <w:rsid w:val="0085255E"/>
    <w:rsid w:val="008528A9"/>
    <w:rsid w:val="00861424"/>
    <w:rsid w:val="00862F0B"/>
    <w:rsid w:val="0086382D"/>
    <w:rsid w:val="0087311B"/>
    <w:rsid w:val="0087324B"/>
    <w:rsid w:val="008738F1"/>
    <w:rsid w:val="00874E7A"/>
    <w:rsid w:val="00875045"/>
    <w:rsid w:val="00875177"/>
    <w:rsid w:val="00875760"/>
    <w:rsid w:val="00876EDF"/>
    <w:rsid w:val="00877070"/>
    <w:rsid w:val="00880B56"/>
    <w:rsid w:val="00881707"/>
    <w:rsid w:val="008822E6"/>
    <w:rsid w:val="0088478D"/>
    <w:rsid w:val="008850D7"/>
    <w:rsid w:val="008908BF"/>
    <w:rsid w:val="008926F0"/>
    <w:rsid w:val="008960A4"/>
    <w:rsid w:val="008A002F"/>
    <w:rsid w:val="008A053E"/>
    <w:rsid w:val="008A060C"/>
    <w:rsid w:val="008A18FF"/>
    <w:rsid w:val="008A1DFA"/>
    <w:rsid w:val="008A2636"/>
    <w:rsid w:val="008A388E"/>
    <w:rsid w:val="008A4802"/>
    <w:rsid w:val="008A5B8C"/>
    <w:rsid w:val="008B13C9"/>
    <w:rsid w:val="008B4C23"/>
    <w:rsid w:val="008C03CF"/>
    <w:rsid w:val="008C59DE"/>
    <w:rsid w:val="008C6184"/>
    <w:rsid w:val="008D06A5"/>
    <w:rsid w:val="008D61EA"/>
    <w:rsid w:val="008D79E6"/>
    <w:rsid w:val="008E0F12"/>
    <w:rsid w:val="008E1A80"/>
    <w:rsid w:val="008E7606"/>
    <w:rsid w:val="008F4EAF"/>
    <w:rsid w:val="008F7A75"/>
    <w:rsid w:val="008F7F94"/>
    <w:rsid w:val="00900788"/>
    <w:rsid w:val="00902ED9"/>
    <w:rsid w:val="00903B95"/>
    <w:rsid w:val="00903C6E"/>
    <w:rsid w:val="00904A42"/>
    <w:rsid w:val="00905455"/>
    <w:rsid w:val="00905A3A"/>
    <w:rsid w:val="009068D3"/>
    <w:rsid w:val="00915565"/>
    <w:rsid w:val="0091593D"/>
    <w:rsid w:val="0091666C"/>
    <w:rsid w:val="009210C0"/>
    <w:rsid w:val="0092161C"/>
    <w:rsid w:val="009227D3"/>
    <w:rsid w:val="00922A1D"/>
    <w:rsid w:val="009251EE"/>
    <w:rsid w:val="00926399"/>
    <w:rsid w:val="00926819"/>
    <w:rsid w:val="00927F75"/>
    <w:rsid w:val="009337A6"/>
    <w:rsid w:val="00934427"/>
    <w:rsid w:val="00935405"/>
    <w:rsid w:val="0093547D"/>
    <w:rsid w:val="00941882"/>
    <w:rsid w:val="00943B23"/>
    <w:rsid w:val="009448BA"/>
    <w:rsid w:val="00944ACB"/>
    <w:rsid w:val="00946252"/>
    <w:rsid w:val="00946511"/>
    <w:rsid w:val="00946662"/>
    <w:rsid w:val="009502D2"/>
    <w:rsid w:val="00953030"/>
    <w:rsid w:val="009550BF"/>
    <w:rsid w:val="0095585F"/>
    <w:rsid w:val="0095672A"/>
    <w:rsid w:val="009677B7"/>
    <w:rsid w:val="00970C30"/>
    <w:rsid w:val="00971B31"/>
    <w:rsid w:val="00975C07"/>
    <w:rsid w:val="0097653D"/>
    <w:rsid w:val="0097710D"/>
    <w:rsid w:val="00977606"/>
    <w:rsid w:val="009800C2"/>
    <w:rsid w:val="00980D17"/>
    <w:rsid w:val="0098787D"/>
    <w:rsid w:val="009930F5"/>
    <w:rsid w:val="009934EE"/>
    <w:rsid w:val="00994994"/>
    <w:rsid w:val="009A4032"/>
    <w:rsid w:val="009A613F"/>
    <w:rsid w:val="009A6DA1"/>
    <w:rsid w:val="009B10EA"/>
    <w:rsid w:val="009B15EC"/>
    <w:rsid w:val="009B189C"/>
    <w:rsid w:val="009B5532"/>
    <w:rsid w:val="009B7C14"/>
    <w:rsid w:val="009C05FC"/>
    <w:rsid w:val="009C2866"/>
    <w:rsid w:val="009D088D"/>
    <w:rsid w:val="009D1E9D"/>
    <w:rsid w:val="009D23EA"/>
    <w:rsid w:val="009D292A"/>
    <w:rsid w:val="009D516E"/>
    <w:rsid w:val="009D5917"/>
    <w:rsid w:val="009D62EA"/>
    <w:rsid w:val="009E28ED"/>
    <w:rsid w:val="009E420E"/>
    <w:rsid w:val="009E6E68"/>
    <w:rsid w:val="009E7242"/>
    <w:rsid w:val="009F0E3E"/>
    <w:rsid w:val="009F1B88"/>
    <w:rsid w:val="009F2523"/>
    <w:rsid w:val="009F26C4"/>
    <w:rsid w:val="009F2D95"/>
    <w:rsid w:val="009F2EC5"/>
    <w:rsid w:val="00A0201B"/>
    <w:rsid w:val="00A02450"/>
    <w:rsid w:val="00A037DD"/>
    <w:rsid w:val="00A039E0"/>
    <w:rsid w:val="00A04AD2"/>
    <w:rsid w:val="00A11E55"/>
    <w:rsid w:val="00A123FE"/>
    <w:rsid w:val="00A12650"/>
    <w:rsid w:val="00A12D70"/>
    <w:rsid w:val="00A141BA"/>
    <w:rsid w:val="00A14661"/>
    <w:rsid w:val="00A14817"/>
    <w:rsid w:val="00A14EDF"/>
    <w:rsid w:val="00A15760"/>
    <w:rsid w:val="00A16976"/>
    <w:rsid w:val="00A203AA"/>
    <w:rsid w:val="00A20923"/>
    <w:rsid w:val="00A23B88"/>
    <w:rsid w:val="00A240E0"/>
    <w:rsid w:val="00A242D6"/>
    <w:rsid w:val="00A25638"/>
    <w:rsid w:val="00A311FB"/>
    <w:rsid w:val="00A31A5D"/>
    <w:rsid w:val="00A373BB"/>
    <w:rsid w:val="00A43F93"/>
    <w:rsid w:val="00A447FC"/>
    <w:rsid w:val="00A519D1"/>
    <w:rsid w:val="00A53E45"/>
    <w:rsid w:val="00A547EE"/>
    <w:rsid w:val="00A55DB0"/>
    <w:rsid w:val="00A613ED"/>
    <w:rsid w:val="00A636A7"/>
    <w:rsid w:val="00A63B4F"/>
    <w:rsid w:val="00A63F31"/>
    <w:rsid w:val="00A64E7C"/>
    <w:rsid w:val="00A6503C"/>
    <w:rsid w:val="00A65075"/>
    <w:rsid w:val="00A70E08"/>
    <w:rsid w:val="00A719F9"/>
    <w:rsid w:val="00A74109"/>
    <w:rsid w:val="00A76F07"/>
    <w:rsid w:val="00A864F1"/>
    <w:rsid w:val="00A9009C"/>
    <w:rsid w:val="00A91803"/>
    <w:rsid w:val="00A92D1D"/>
    <w:rsid w:val="00A94356"/>
    <w:rsid w:val="00A97730"/>
    <w:rsid w:val="00AA001E"/>
    <w:rsid w:val="00AA0281"/>
    <w:rsid w:val="00AA0ED4"/>
    <w:rsid w:val="00AA1E03"/>
    <w:rsid w:val="00AA2F30"/>
    <w:rsid w:val="00AA3085"/>
    <w:rsid w:val="00AB01D3"/>
    <w:rsid w:val="00AB09FB"/>
    <w:rsid w:val="00AB0A08"/>
    <w:rsid w:val="00AB11E9"/>
    <w:rsid w:val="00AB12F4"/>
    <w:rsid w:val="00AB17AF"/>
    <w:rsid w:val="00AB2941"/>
    <w:rsid w:val="00AB33BB"/>
    <w:rsid w:val="00AB3514"/>
    <w:rsid w:val="00AB79DE"/>
    <w:rsid w:val="00AC00DC"/>
    <w:rsid w:val="00AC05E5"/>
    <w:rsid w:val="00AC074F"/>
    <w:rsid w:val="00AC1518"/>
    <w:rsid w:val="00AC2BA7"/>
    <w:rsid w:val="00AC34A5"/>
    <w:rsid w:val="00AC3C4A"/>
    <w:rsid w:val="00AC517A"/>
    <w:rsid w:val="00AD10B4"/>
    <w:rsid w:val="00AD17EC"/>
    <w:rsid w:val="00AD5DE9"/>
    <w:rsid w:val="00AE2B99"/>
    <w:rsid w:val="00AE3473"/>
    <w:rsid w:val="00AE4991"/>
    <w:rsid w:val="00AE5499"/>
    <w:rsid w:val="00AE5ECA"/>
    <w:rsid w:val="00AE636C"/>
    <w:rsid w:val="00AE66FF"/>
    <w:rsid w:val="00AF05E1"/>
    <w:rsid w:val="00AF1219"/>
    <w:rsid w:val="00AF274B"/>
    <w:rsid w:val="00AF2DB4"/>
    <w:rsid w:val="00AF2FCD"/>
    <w:rsid w:val="00AF31B2"/>
    <w:rsid w:val="00AF4F32"/>
    <w:rsid w:val="00AF566F"/>
    <w:rsid w:val="00AF5AA3"/>
    <w:rsid w:val="00AF619F"/>
    <w:rsid w:val="00AF7AD2"/>
    <w:rsid w:val="00B0009B"/>
    <w:rsid w:val="00B00676"/>
    <w:rsid w:val="00B044A2"/>
    <w:rsid w:val="00B04D84"/>
    <w:rsid w:val="00B0615E"/>
    <w:rsid w:val="00B06E94"/>
    <w:rsid w:val="00B10189"/>
    <w:rsid w:val="00B10AEB"/>
    <w:rsid w:val="00B10ED8"/>
    <w:rsid w:val="00B1120A"/>
    <w:rsid w:val="00B13A7E"/>
    <w:rsid w:val="00B14D04"/>
    <w:rsid w:val="00B15DFA"/>
    <w:rsid w:val="00B16E23"/>
    <w:rsid w:val="00B21784"/>
    <w:rsid w:val="00B27037"/>
    <w:rsid w:val="00B339D9"/>
    <w:rsid w:val="00B34620"/>
    <w:rsid w:val="00B35B63"/>
    <w:rsid w:val="00B36E3F"/>
    <w:rsid w:val="00B372FB"/>
    <w:rsid w:val="00B37383"/>
    <w:rsid w:val="00B402D6"/>
    <w:rsid w:val="00B408E6"/>
    <w:rsid w:val="00B40D06"/>
    <w:rsid w:val="00B43423"/>
    <w:rsid w:val="00B437BD"/>
    <w:rsid w:val="00B43B24"/>
    <w:rsid w:val="00B4481C"/>
    <w:rsid w:val="00B45B87"/>
    <w:rsid w:val="00B46A4D"/>
    <w:rsid w:val="00B4768E"/>
    <w:rsid w:val="00B51887"/>
    <w:rsid w:val="00B5230D"/>
    <w:rsid w:val="00B5468D"/>
    <w:rsid w:val="00B5526C"/>
    <w:rsid w:val="00B56332"/>
    <w:rsid w:val="00B57918"/>
    <w:rsid w:val="00B60186"/>
    <w:rsid w:val="00B60237"/>
    <w:rsid w:val="00B60493"/>
    <w:rsid w:val="00B63CFB"/>
    <w:rsid w:val="00B6459A"/>
    <w:rsid w:val="00B64645"/>
    <w:rsid w:val="00B64B91"/>
    <w:rsid w:val="00B65DB2"/>
    <w:rsid w:val="00B671F3"/>
    <w:rsid w:val="00B67321"/>
    <w:rsid w:val="00B677C2"/>
    <w:rsid w:val="00B70ECD"/>
    <w:rsid w:val="00B712B4"/>
    <w:rsid w:val="00B73C4B"/>
    <w:rsid w:val="00B74452"/>
    <w:rsid w:val="00B77716"/>
    <w:rsid w:val="00B77FDF"/>
    <w:rsid w:val="00B80012"/>
    <w:rsid w:val="00B80F35"/>
    <w:rsid w:val="00B86779"/>
    <w:rsid w:val="00B90EAD"/>
    <w:rsid w:val="00B9373D"/>
    <w:rsid w:val="00B9530E"/>
    <w:rsid w:val="00B963DF"/>
    <w:rsid w:val="00B9730B"/>
    <w:rsid w:val="00B975BC"/>
    <w:rsid w:val="00B97FCE"/>
    <w:rsid w:val="00BA0B08"/>
    <w:rsid w:val="00BA2521"/>
    <w:rsid w:val="00BA2923"/>
    <w:rsid w:val="00BA4313"/>
    <w:rsid w:val="00BB1EFC"/>
    <w:rsid w:val="00BB32C6"/>
    <w:rsid w:val="00BB3E58"/>
    <w:rsid w:val="00BB3F23"/>
    <w:rsid w:val="00BB5925"/>
    <w:rsid w:val="00BB5E8F"/>
    <w:rsid w:val="00BB6571"/>
    <w:rsid w:val="00BC1BD1"/>
    <w:rsid w:val="00BC4F1D"/>
    <w:rsid w:val="00BC552A"/>
    <w:rsid w:val="00BC6EAF"/>
    <w:rsid w:val="00BD15D4"/>
    <w:rsid w:val="00BD203B"/>
    <w:rsid w:val="00BD28E1"/>
    <w:rsid w:val="00BD497A"/>
    <w:rsid w:val="00BD5E19"/>
    <w:rsid w:val="00BE6170"/>
    <w:rsid w:val="00BE6296"/>
    <w:rsid w:val="00BE6B8C"/>
    <w:rsid w:val="00BE7064"/>
    <w:rsid w:val="00BF0717"/>
    <w:rsid w:val="00BF12D1"/>
    <w:rsid w:val="00BF1497"/>
    <w:rsid w:val="00BF1D55"/>
    <w:rsid w:val="00BF31C7"/>
    <w:rsid w:val="00BF4BAB"/>
    <w:rsid w:val="00BF6F53"/>
    <w:rsid w:val="00C01FA4"/>
    <w:rsid w:val="00C0230F"/>
    <w:rsid w:val="00C062E4"/>
    <w:rsid w:val="00C064E4"/>
    <w:rsid w:val="00C10022"/>
    <w:rsid w:val="00C10B47"/>
    <w:rsid w:val="00C119DC"/>
    <w:rsid w:val="00C12499"/>
    <w:rsid w:val="00C12724"/>
    <w:rsid w:val="00C12903"/>
    <w:rsid w:val="00C131DD"/>
    <w:rsid w:val="00C16FF8"/>
    <w:rsid w:val="00C17015"/>
    <w:rsid w:val="00C22497"/>
    <w:rsid w:val="00C23544"/>
    <w:rsid w:val="00C25007"/>
    <w:rsid w:val="00C275D2"/>
    <w:rsid w:val="00C314E2"/>
    <w:rsid w:val="00C335E5"/>
    <w:rsid w:val="00C43398"/>
    <w:rsid w:val="00C435EB"/>
    <w:rsid w:val="00C4609D"/>
    <w:rsid w:val="00C52A2E"/>
    <w:rsid w:val="00C5424F"/>
    <w:rsid w:val="00C54640"/>
    <w:rsid w:val="00C57D61"/>
    <w:rsid w:val="00C600CB"/>
    <w:rsid w:val="00C62116"/>
    <w:rsid w:val="00C62853"/>
    <w:rsid w:val="00C63C4F"/>
    <w:rsid w:val="00C641B7"/>
    <w:rsid w:val="00C64234"/>
    <w:rsid w:val="00C67801"/>
    <w:rsid w:val="00C67C3D"/>
    <w:rsid w:val="00C70E2A"/>
    <w:rsid w:val="00C7179E"/>
    <w:rsid w:val="00C724C2"/>
    <w:rsid w:val="00C7287B"/>
    <w:rsid w:val="00C76547"/>
    <w:rsid w:val="00C8409B"/>
    <w:rsid w:val="00C85C18"/>
    <w:rsid w:val="00C8687D"/>
    <w:rsid w:val="00C87E2B"/>
    <w:rsid w:val="00C9076D"/>
    <w:rsid w:val="00C90E17"/>
    <w:rsid w:val="00C91899"/>
    <w:rsid w:val="00C927E7"/>
    <w:rsid w:val="00C92AB7"/>
    <w:rsid w:val="00C939E7"/>
    <w:rsid w:val="00C94C76"/>
    <w:rsid w:val="00CA1AB2"/>
    <w:rsid w:val="00CA31D3"/>
    <w:rsid w:val="00CA4764"/>
    <w:rsid w:val="00CA4C39"/>
    <w:rsid w:val="00CA57A9"/>
    <w:rsid w:val="00CA7365"/>
    <w:rsid w:val="00CA75A0"/>
    <w:rsid w:val="00CB27DC"/>
    <w:rsid w:val="00CB2C7B"/>
    <w:rsid w:val="00CB7175"/>
    <w:rsid w:val="00CC18A7"/>
    <w:rsid w:val="00CC5E9C"/>
    <w:rsid w:val="00CC61D3"/>
    <w:rsid w:val="00CC66A3"/>
    <w:rsid w:val="00CC68E0"/>
    <w:rsid w:val="00CC6C85"/>
    <w:rsid w:val="00CD28FE"/>
    <w:rsid w:val="00CD49E7"/>
    <w:rsid w:val="00CD4D4A"/>
    <w:rsid w:val="00CD4FCD"/>
    <w:rsid w:val="00CD75BC"/>
    <w:rsid w:val="00CD7D5B"/>
    <w:rsid w:val="00CE04E1"/>
    <w:rsid w:val="00CE06A9"/>
    <w:rsid w:val="00CE2BB0"/>
    <w:rsid w:val="00CE2E48"/>
    <w:rsid w:val="00CE3849"/>
    <w:rsid w:val="00CE570F"/>
    <w:rsid w:val="00CE70E2"/>
    <w:rsid w:val="00CE741F"/>
    <w:rsid w:val="00CE76EC"/>
    <w:rsid w:val="00CE7A69"/>
    <w:rsid w:val="00CF0054"/>
    <w:rsid w:val="00CF1A5F"/>
    <w:rsid w:val="00CF1D29"/>
    <w:rsid w:val="00CF7641"/>
    <w:rsid w:val="00CF77FA"/>
    <w:rsid w:val="00D0022D"/>
    <w:rsid w:val="00D00415"/>
    <w:rsid w:val="00D052E2"/>
    <w:rsid w:val="00D05C51"/>
    <w:rsid w:val="00D06CAE"/>
    <w:rsid w:val="00D110A1"/>
    <w:rsid w:val="00D1137D"/>
    <w:rsid w:val="00D1375F"/>
    <w:rsid w:val="00D167BC"/>
    <w:rsid w:val="00D16E5A"/>
    <w:rsid w:val="00D202FD"/>
    <w:rsid w:val="00D211F8"/>
    <w:rsid w:val="00D228E1"/>
    <w:rsid w:val="00D232C4"/>
    <w:rsid w:val="00D26260"/>
    <w:rsid w:val="00D33828"/>
    <w:rsid w:val="00D345D7"/>
    <w:rsid w:val="00D37E86"/>
    <w:rsid w:val="00D416E8"/>
    <w:rsid w:val="00D41EF3"/>
    <w:rsid w:val="00D462DA"/>
    <w:rsid w:val="00D46697"/>
    <w:rsid w:val="00D47483"/>
    <w:rsid w:val="00D52BB4"/>
    <w:rsid w:val="00D54198"/>
    <w:rsid w:val="00D54D26"/>
    <w:rsid w:val="00D551F6"/>
    <w:rsid w:val="00D55B04"/>
    <w:rsid w:val="00D56B04"/>
    <w:rsid w:val="00D6204E"/>
    <w:rsid w:val="00D62763"/>
    <w:rsid w:val="00D672E8"/>
    <w:rsid w:val="00D7069C"/>
    <w:rsid w:val="00D71F66"/>
    <w:rsid w:val="00D726EA"/>
    <w:rsid w:val="00D72C98"/>
    <w:rsid w:val="00D72EA0"/>
    <w:rsid w:val="00D7300E"/>
    <w:rsid w:val="00D74C41"/>
    <w:rsid w:val="00D74CCA"/>
    <w:rsid w:val="00D74EEA"/>
    <w:rsid w:val="00D76812"/>
    <w:rsid w:val="00D77A91"/>
    <w:rsid w:val="00D8002D"/>
    <w:rsid w:val="00D80206"/>
    <w:rsid w:val="00D8479E"/>
    <w:rsid w:val="00D84DC3"/>
    <w:rsid w:val="00D85C23"/>
    <w:rsid w:val="00D86A8C"/>
    <w:rsid w:val="00D86C13"/>
    <w:rsid w:val="00D8714D"/>
    <w:rsid w:val="00D91232"/>
    <w:rsid w:val="00D931EF"/>
    <w:rsid w:val="00D9332F"/>
    <w:rsid w:val="00D93F60"/>
    <w:rsid w:val="00D95A13"/>
    <w:rsid w:val="00D95B99"/>
    <w:rsid w:val="00D95E60"/>
    <w:rsid w:val="00DA10C8"/>
    <w:rsid w:val="00DA3225"/>
    <w:rsid w:val="00DA33F0"/>
    <w:rsid w:val="00DA50D3"/>
    <w:rsid w:val="00DA5C0B"/>
    <w:rsid w:val="00DA60DC"/>
    <w:rsid w:val="00DA6470"/>
    <w:rsid w:val="00DB0A04"/>
    <w:rsid w:val="00DB22B9"/>
    <w:rsid w:val="00DB2508"/>
    <w:rsid w:val="00DB3F64"/>
    <w:rsid w:val="00DB4656"/>
    <w:rsid w:val="00DB48DC"/>
    <w:rsid w:val="00DB54ED"/>
    <w:rsid w:val="00DB5D48"/>
    <w:rsid w:val="00DC0098"/>
    <w:rsid w:val="00DC1B02"/>
    <w:rsid w:val="00DC2162"/>
    <w:rsid w:val="00DC45F3"/>
    <w:rsid w:val="00DD0111"/>
    <w:rsid w:val="00DD0E85"/>
    <w:rsid w:val="00DD2066"/>
    <w:rsid w:val="00DD311E"/>
    <w:rsid w:val="00DD43FD"/>
    <w:rsid w:val="00DD5190"/>
    <w:rsid w:val="00DD6F64"/>
    <w:rsid w:val="00DE1A02"/>
    <w:rsid w:val="00DE1CDB"/>
    <w:rsid w:val="00DE59E9"/>
    <w:rsid w:val="00DE6661"/>
    <w:rsid w:val="00DF0F1A"/>
    <w:rsid w:val="00DF199F"/>
    <w:rsid w:val="00DF2B3A"/>
    <w:rsid w:val="00DF43BB"/>
    <w:rsid w:val="00DF77FB"/>
    <w:rsid w:val="00E0094B"/>
    <w:rsid w:val="00E012CF"/>
    <w:rsid w:val="00E01E59"/>
    <w:rsid w:val="00E0476E"/>
    <w:rsid w:val="00E06BD1"/>
    <w:rsid w:val="00E07699"/>
    <w:rsid w:val="00E07869"/>
    <w:rsid w:val="00E109A1"/>
    <w:rsid w:val="00E1695E"/>
    <w:rsid w:val="00E231CD"/>
    <w:rsid w:val="00E238C3"/>
    <w:rsid w:val="00E239C4"/>
    <w:rsid w:val="00E24E6F"/>
    <w:rsid w:val="00E259FA"/>
    <w:rsid w:val="00E34812"/>
    <w:rsid w:val="00E34B23"/>
    <w:rsid w:val="00E36C48"/>
    <w:rsid w:val="00E40602"/>
    <w:rsid w:val="00E4078D"/>
    <w:rsid w:val="00E41EE4"/>
    <w:rsid w:val="00E41EFE"/>
    <w:rsid w:val="00E42791"/>
    <w:rsid w:val="00E43336"/>
    <w:rsid w:val="00E45220"/>
    <w:rsid w:val="00E45BC3"/>
    <w:rsid w:val="00E4759D"/>
    <w:rsid w:val="00E5281D"/>
    <w:rsid w:val="00E52C23"/>
    <w:rsid w:val="00E536F6"/>
    <w:rsid w:val="00E549B2"/>
    <w:rsid w:val="00E54A24"/>
    <w:rsid w:val="00E54CEB"/>
    <w:rsid w:val="00E57291"/>
    <w:rsid w:val="00E60F50"/>
    <w:rsid w:val="00E61F89"/>
    <w:rsid w:val="00E63778"/>
    <w:rsid w:val="00E64379"/>
    <w:rsid w:val="00E65CAD"/>
    <w:rsid w:val="00E6680E"/>
    <w:rsid w:val="00E7215E"/>
    <w:rsid w:val="00E72E08"/>
    <w:rsid w:val="00E80127"/>
    <w:rsid w:val="00E80396"/>
    <w:rsid w:val="00E84F23"/>
    <w:rsid w:val="00E84F5B"/>
    <w:rsid w:val="00E861DB"/>
    <w:rsid w:val="00E86888"/>
    <w:rsid w:val="00E94BBA"/>
    <w:rsid w:val="00EA117E"/>
    <w:rsid w:val="00EA5EED"/>
    <w:rsid w:val="00EA6E46"/>
    <w:rsid w:val="00EA71E0"/>
    <w:rsid w:val="00EB128F"/>
    <w:rsid w:val="00EB2E4B"/>
    <w:rsid w:val="00EB3DC7"/>
    <w:rsid w:val="00EB4836"/>
    <w:rsid w:val="00EB7FEB"/>
    <w:rsid w:val="00EC1022"/>
    <w:rsid w:val="00EC3B68"/>
    <w:rsid w:val="00EC3BC9"/>
    <w:rsid w:val="00EC4839"/>
    <w:rsid w:val="00EC6881"/>
    <w:rsid w:val="00EC727C"/>
    <w:rsid w:val="00EC72F5"/>
    <w:rsid w:val="00ED1602"/>
    <w:rsid w:val="00ED2365"/>
    <w:rsid w:val="00ED31FB"/>
    <w:rsid w:val="00ED35E9"/>
    <w:rsid w:val="00ED37C5"/>
    <w:rsid w:val="00ED4346"/>
    <w:rsid w:val="00ED521F"/>
    <w:rsid w:val="00ED65CF"/>
    <w:rsid w:val="00ED6805"/>
    <w:rsid w:val="00EE0C03"/>
    <w:rsid w:val="00EE1EB0"/>
    <w:rsid w:val="00EE392E"/>
    <w:rsid w:val="00EE4BA4"/>
    <w:rsid w:val="00EE5BBF"/>
    <w:rsid w:val="00EE76FE"/>
    <w:rsid w:val="00EF2FE1"/>
    <w:rsid w:val="00EF345F"/>
    <w:rsid w:val="00EF3CE9"/>
    <w:rsid w:val="00EF5A0C"/>
    <w:rsid w:val="00EF6B64"/>
    <w:rsid w:val="00EF6F83"/>
    <w:rsid w:val="00EF7362"/>
    <w:rsid w:val="00EF7AE3"/>
    <w:rsid w:val="00EF7F40"/>
    <w:rsid w:val="00F00A96"/>
    <w:rsid w:val="00F00CF6"/>
    <w:rsid w:val="00F053C7"/>
    <w:rsid w:val="00F0551C"/>
    <w:rsid w:val="00F05578"/>
    <w:rsid w:val="00F06579"/>
    <w:rsid w:val="00F06F41"/>
    <w:rsid w:val="00F114D9"/>
    <w:rsid w:val="00F11C66"/>
    <w:rsid w:val="00F16ABA"/>
    <w:rsid w:val="00F218E9"/>
    <w:rsid w:val="00F226CD"/>
    <w:rsid w:val="00F24AE1"/>
    <w:rsid w:val="00F24CB4"/>
    <w:rsid w:val="00F310C5"/>
    <w:rsid w:val="00F31BF5"/>
    <w:rsid w:val="00F35475"/>
    <w:rsid w:val="00F35A1D"/>
    <w:rsid w:val="00F363B4"/>
    <w:rsid w:val="00F3644F"/>
    <w:rsid w:val="00F36DF2"/>
    <w:rsid w:val="00F40C71"/>
    <w:rsid w:val="00F4324F"/>
    <w:rsid w:val="00F47310"/>
    <w:rsid w:val="00F5006A"/>
    <w:rsid w:val="00F512AE"/>
    <w:rsid w:val="00F53795"/>
    <w:rsid w:val="00F53A5C"/>
    <w:rsid w:val="00F54021"/>
    <w:rsid w:val="00F54BD6"/>
    <w:rsid w:val="00F60F27"/>
    <w:rsid w:val="00F6127F"/>
    <w:rsid w:val="00F63BAF"/>
    <w:rsid w:val="00F65480"/>
    <w:rsid w:val="00F66623"/>
    <w:rsid w:val="00F6712A"/>
    <w:rsid w:val="00F67B5E"/>
    <w:rsid w:val="00F72ACB"/>
    <w:rsid w:val="00F738F2"/>
    <w:rsid w:val="00F74095"/>
    <w:rsid w:val="00F744B3"/>
    <w:rsid w:val="00F74E30"/>
    <w:rsid w:val="00F754BA"/>
    <w:rsid w:val="00F7745B"/>
    <w:rsid w:val="00F77A8B"/>
    <w:rsid w:val="00F77B1C"/>
    <w:rsid w:val="00F80033"/>
    <w:rsid w:val="00F80142"/>
    <w:rsid w:val="00F80649"/>
    <w:rsid w:val="00F815F8"/>
    <w:rsid w:val="00F81FE2"/>
    <w:rsid w:val="00F82413"/>
    <w:rsid w:val="00F86039"/>
    <w:rsid w:val="00F86411"/>
    <w:rsid w:val="00F86568"/>
    <w:rsid w:val="00F86AC5"/>
    <w:rsid w:val="00F90900"/>
    <w:rsid w:val="00F920AF"/>
    <w:rsid w:val="00F9468C"/>
    <w:rsid w:val="00F971DC"/>
    <w:rsid w:val="00FA1827"/>
    <w:rsid w:val="00FA27AC"/>
    <w:rsid w:val="00FB10FA"/>
    <w:rsid w:val="00FB26C8"/>
    <w:rsid w:val="00FB336D"/>
    <w:rsid w:val="00FB6321"/>
    <w:rsid w:val="00FB68BB"/>
    <w:rsid w:val="00FC0D1D"/>
    <w:rsid w:val="00FC1DAC"/>
    <w:rsid w:val="00FC5E52"/>
    <w:rsid w:val="00FC7897"/>
    <w:rsid w:val="00FD12D2"/>
    <w:rsid w:val="00FD14BF"/>
    <w:rsid w:val="00FD191B"/>
    <w:rsid w:val="00FD20D9"/>
    <w:rsid w:val="00FD230A"/>
    <w:rsid w:val="00FD570D"/>
    <w:rsid w:val="00FD57C4"/>
    <w:rsid w:val="00FD6A39"/>
    <w:rsid w:val="00FD797F"/>
    <w:rsid w:val="00FE092F"/>
    <w:rsid w:val="00FE3756"/>
    <w:rsid w:val="00FE48B5"/>
    <w:rsid w:val="00FE5CCA"/>
    <w:rsid w:val="00FE67B9"/>
    <w:rsid w:val="00FF285F"/>
    <w:rsid w:val="00FF31F4"/>
    <w:rsid w:val="00FF3985"/>
    <w:rsid w:val="00FF39A0"/>
    <w:rsid w:val="00FF3FCD"/>
    <w:rsid w:val="00FF4037"/>
    <w:rsid w:val="00FF73C1"/>
    <w:rsid w:val="00FF76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8FAF3"/>
  <w15:docId w15:val="{B5A697D3-F280-4762-9F82-32D730BA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00DC"/>
  </w:style>
  <w:style w:type="paragraph" w:styleId="Antrat1">
    <w:name w:val="heading 1"/>
    <w:basedOn w:val="prastasis"/>
    <w:next w:val="prastasis"/>
    <w:link w:val="Antrat1Diagrama"/>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Antrat2">
    <w:name w:val="heading 2"/>
    <w:basedOn w:val="prastasis"/>
    <w:next w:val="prastasis"/>
    <w:link w:val="Antrat2Diagrama"/>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Antrat3">
    <w:name w:val="heading 3"/>
    <w:basedOn w:val="prastasis"/>
    <w:next w:val="prastasis"/>
    <w:link w:val="Antrat3Diagrama"/>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Antrat4">
    <w:name w:val="heading 4"/>
    <w:basedOn w:val="prastasis"/>
    <w:next w:val="prastasis"/>
    <w:link w:val="Antrat4Diagrama"/>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Antrat5">
    <w:name w:val="heading 5"/>
    <w:basedOn w:val="prastasis"/>
    <w:next w:val="prastasis"/>
    <w:link w:val="Antrat5Diagrama"/>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Antrat6">
    <w:name w:val="heading 6"/>
    <w:basedOn w:val="prastasis"/>
    <w:next w:val="prastasis"/>
    <w:link w:val="Antrat6Diagrama"/>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Antrat7">
    <w:name w:val="heading 7"/>
    <w:basedOn w:val="prastasis"/>
    <w:next w:val="prastasis"/>
    <w:link w:val="Antrat7Diagrama"/>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Antrat8">
    <w:name w:val="heading 8"/>
    <w:basedOn w:val="prastasis"/>
    <w:next w:val="prastasis"/>
    <w:link w:val="Antrat8Diagrama"/>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Antrat9">
    <w:name w:val="heading 9"/>
    <w:basedOn w:val="prastasis"/>
    <w:next w:val="prastasis"/>
    <w:link w:val="Antrat9Diagrama"/>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s1">
    <w:name w:val="Antraštės1"/>
    <w:basedOn w:val="prastasis"/>
    <w:next w:val="Antrats"/>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Numatytasispastraiposriftas"/>
    <w:link w:val="Antrats1"/>
    <w:uiPriority w:val="99"/>
    <w:rsid w:val="00AC00DC"/>
    <w:rPr>
      <w:rFonts w:asciiTheme="minorHAnsi" w:hAnsiTheme="minorHAnsi"/>
      <w:sz w:val="22"/>
    </w:rPr>
  </w:style>
  <w:style w:type="paragraph" w:styleId="Antrats">
    <w:name w:val="header"/>
    <w:basedOn w:val="prastasis"/>
    <w:link w:val="AntratsDiagrama1"/>
    <w:uiPriority w:val="99"/>
    <w:unhideWhenUsed/>
    <w:rsid w:val="00AC00DC"/>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rsid w:val="00AC00DC"/>
  </w:style>
  <w:style w:type="character" w:styleId="Hipersaitas">
    <w:name w:val="Hyperlink"/>
    <w:basedOn w:val="Numatytasispastraiposriftas"/>
    <w:uiPriority w:val="99"/>
    <w:unhideWhenUsed/>
    <w:rsid w:val="00226008"/>
    <w:rPr>
      <w:color w:val="0563C1" w:themeColor="hyperlink"/>
      <w:u w:val="single"/>
    </w:rPr>
  </w:style>
  <w:style w:type="paragraph" w:styleId="Debesliotekstas">
    <w:name w:val="Balloon Text"/>
    <w:basedOn w:val="prastasis"/>
    <w:link w:val="DebesliotekstasDiagrama"/>
    <w:uiPriority w:val="99"/>
    <w:semiHidden/>
    <w:unhideWhenUsed/>
    <w:rsid w:val="004A7C0C"/>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A7C0C"/>
    <w:rPr>
      <w:rFonts w:ascii="Segoe UI" w:hAnsi="Segoe UI" w:cs="Segoe UI"/>
      <w:sz w:val="18"/>
      <w:szCs w:val="18"/>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7A1B26"/>
    <w:pPr>
      <w:ind w:left="720"/>
      <w:contextualSpacing/>
    </w:pPr>
  </w:style>
  <w:style w:type="paragraph" w:styleId="Porat">
    <w:name w:val="footer"/>
    <w:basedOn w:val="prastasis"/>
    <w:link w:val="PoratDiagrama"/>
    <w:uiPriority w:val="99"/>
    <w:unhideWhenUsed/>
    <w:rsid w:val="0091666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91666C"/>
  </w:style>
  <w:style w:type="character" w:customStyle="1" w:styleId="UnresolvedMention1">
    <w:name w:val="Unresolved Mention1"/>
    <w:basedOn w:val="Numatytasispastraiposriftas"/>
    <w:uiPriority w:val="99"/>
    <w:semiHidden/>
    <w:unhideWhenUsed/>
    <w:rsid w:val="00A25638"/>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locked/>
    <w:rsid w:val="00A63B4F"/>
  </w:style>
  <w:style w:type="paragraph" w:styleId="prastasiniatinklio">
    <w:name w:val="Normal (Web)"/>
    <w:basedOn w:val="prastasis"/>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Puslapioinaostekstas">
    <w:name w:val="footnote text"/>
    <w:aliases w:val="Char1, Char1,Char, Char"/>
    <w:basedOn w:val="prastasis"/>
    <w:link w:val="PuslapioinaostekstasDiagrama"/>
    <w:qFormat/>
    <w:rsid w:val="00E94BBA"/>
    <w:pPr>
      <w:spacing w:after="0" w:line="240" w:lineRule="auto"/>
    </w:pPr>
    <w:rPr>
      <w:rFonts w:eastAsia="Calibri" w:cs="Times New Roman"/>
      <w:sz w:val="20"/>
      <w:szCs w:val="20"/>
      <w:lang w:eastAsia="lt-LT"/>
    </w:rPr>
  </w:style>
  <w:style w:type="character" w:customStyle="1" w:styleId="PuslapioinaostekstasDiagrama">
    <w:name w:val="Puslapio išnašos tekstas Diagrama"/>
    <w:aliases w:val="Char1 Diagrama, Char1 Diagrama,Char Diagrama, Char Diagrama"/>
    <w:basedOn w:val="Numatytasispastraiposriftas"/>
    <w:link w:val="Puslapioinaostekstas"/>
    <w:rsid w:val="00E94BBA"/>
    <w:rPr>
      <w:rFonts w:eastAsia="Calibri" w:cs="Times New Roman"/>
      <w:sz w:val="20"/>
      <w:szCs w:val="20"/>
      <w:lang w:eastAsia="lt-LT"/>
    </w:rPr>
  </w:style>
  <w:style w:type="character" w:styleId="Puslapioinaosnuoroda">
    <w:name w:val="footnote reference"/>
    <w:aliases w:val="footnumber"/>
    <w:rsid w:val="00E94BBA"/>
    <w:rPr>
      <w:rFonts w:cs="Times New Roman"/>
      <w:vertAlign w:val="superscript"/>
    </w:rPr>
  </w:style>
  <w:style w:type="character" w:customStyle="1" w:styleId="UnresolvedMention2">
    <w:name w:val="Unresolved Mention2"/>
    <w:basedOn w:val="Numatytasispastraiposriftas"/>
    <w:uiPriority w:val="99"/>
    <w:semiHidden/>
    <w:unhideWhenUsed/>
    <w:rsid w:val="00A15760"/>
    <w:rPr>
      <w:color w:val="605E5C"/>
      <w:shd w:val="clear" w:color="auto" w:fill="E1DFDD"/>
    </w:rPr>
  </w:style>
  <w:style w:type="paragraph" w:styleId="Sraassuenkleliais">
    <w:name w:val="List Bullet"/>
    <w:basedOn w:val="prastasis"/>
    <w:rsid w:val="00042789"/>
    <w:pPr>
      <w:numPr>
        <w:numId w:val="3"/>
      </w:numPr>
      <w:spacing w:after="0" w:line="240" w:lineRule="auto"/>
    </w:pPr>
    <w:rPr>
      <w:rFonts w:eastAsia="Times New Roman" w:cs="Times New Roman"/>
      <w:szCs w:val="24"/>
    </w:rPr>
  </w:style>
  <w:style w:type="character" w:customStyle="1" w:styleId="Antrat1Diagrama">
    <w:name w:val="Antraštė 1 Diagrama"/>
    <w:basedOn w:val="Numatytasispastraiposriftas"/>
    <w:link w:val="Antrat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Antrat2Diagrama">
    <w:name w:val="Antraštė 2 Diagrama"/>
    <w:basedOn w:val="Numatytasispastraiposriftas"/>
    <w:link w:val="Antrat2"/>
    <w:semiHidden/>
    <w:rsid w:val="007C04E6"/>
    <w:rPr>
      <w:rFonts w:ascii="TimesLT" w:eastAsia="Times New Roman" w:hAnsi="TimesLT" w:cs="TimesLT"/>
      <w:b/>
      <w:bCs/>
      <w:caps/>
      <w:sz w:val="28"/>
      <w:szCs w:val="28"/>
      <w:lang w:eastAsia="lt-LT"/>
    </w:rPr>
  </w:style>
  <w:style w:type="character" w:customStyle="1" w:styleId="Antrat3Diagrama">
    <w:name w:val="Antraštė 3 Diagrama"/>
    <w:basedOn w:val="Numatytasispastraiposriftas"/>
    <w:link w:val="Antrat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Antrat4Diagrama">
    <w:name w:val="Antraštė 4 Diagrama"/>
    <w:basedOn w:val="Numatytasispastraiposriftas"/>
    <w:link w:val="Antrat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Antrat5Diagrama">
    <w:name w:val="Antraštė 5 Diagrama"/>
    <w:basedOn w:val="Numatytasispastraiposriftas"/>
    <w:link w:val="Antrat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Antrat6Diagrama">
    <w:name w:val="Antraštė 6 Diagrama"/>
    <w:basedOn w:val="Numatytasispastraiposriftas"/>
    <w:link w:val="Antrat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Antrat7Diagrama">
    <w:name w:val="Antraštė 7 Diagrama"/>
    <w:basedOn w:val="Numatytasispastraiposriftas"/>
    <w:link w:val="Antrat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Antrat8Diagrama">
    <w:name w:val="Antraštė 8 Diagrama"/>
    <w:basedOn w:val="Numatytasispastraiposriftas"/>
    <w:link w:val="Antrat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Antrat9Diagrama">
    <w:name w:val="Antraštė 9 Diagrama"/>
    <w:basedOn w:val="Numatytasispastraiposriftas"/>
    <w:link w:val="Antrat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Pagrindiniotekstotrauka">
    <w:name w:val="Body Text Indent"/>
    <w:basedOn w:val="prastasis"/>
    <w:link w:val="PagrindiniotekstotraukaDiagrama"/>
    <w:uiPriority w:val="99"/>
    <w:semiHidden/>
    <w:unhideWhenUsed/>
    <w:rsid w:val="005D63C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5D63C8"/>
  </w:style>
  <w:style w:type="numbering" w:customStyle="1" w:styleId="WWNum1">
    <w:name w:val="WWNum1"/>
    <w:basedOn w:val="Sraonra"/>
    <w:rsid w:val="00851DFD"/>
    <w:pPr>
      <w:numPr>
        <w:numId w:val="5"/>
      </w:numPr>
    </w:pPr>
  </w:style>
  <w:style w:type="character" w:customStyle="1" w:styleId="UnresolvedMention3">
    <w:name w:val="Unresolved Mention3"/>
    <w:basedOn w:val="Numatytasispastraiposriftas"/>
    <w:uiPriority w:val="99"/>
    <w:semiHidden/>
    <w:unhideWhenUsed/>
    <w:rsid w:val="006F4A33"/>
    <w:rPr>
      <w:color w:val="605E5C"/>
      <w:shd w:val="clear" w:color="auto" w:fill="E1DFDD"/>
    </w:rPr>
  </w:style>
  <w:style w:type="character" w:customStyle="1" w:styleId="UnresolvedMention4">
    <w:name w:val="Unresolved Mention4"/>
    <w:basedOn w:val="Numatytasispastraiposriftas"/>
    <w:uiPriority w:val="99"/>
    <w:semiHidden/>
    <w:unhideWhenUsed/>
    <w:rsid w:val="00DA33F0"/>
    <w:rPr>
      <w:color w:val="605E5C"/>
      <w:shd w:val="clear" w:color="auto" w:fill="E1DFDD"/>
    </w:rPr>
  </w:style>
  <w:style w:type="paragraph" w:styleId="Pataisymai">
    <w:name w:val="Revision"/>
    <w:hidden/>
    <w:uiPriority w:val="99"/>
    <w:semiHidden/>
    <w:rsid w:val="00534D3D"/>
    <w:pPr>
      <w:spacing w:after="0" w:line="240" w:lineRule="auto"/>
    </w:pPr>
  </w:style>
  <w:style w:type="character" w:styleId="Komentaronuoroda">
    <w:name w:val="annotation reference"/>
    <w:basedOn w:val="Numatytasispastraiposriftas"/>
    <w:uiPriority w:val="99"/>
    <w:semiHidden/>
    <w:unhideWhenUsed/>
    <w:rsid w:val="00564FF3"/>
    <w:rPr>
      <w:sz w:val="16"/>
      <w:szCs w:val="16"/>
    </w:rPr>
  </w:style>
  <w:style w:type="paragraph" w:styleId="Komentarotekstas">
    <w:name w:val="annotation text"/>
    <w:basedOn w:val="prastasis"/>
    <w:link w:val="KomentarotekstasDiagrama"/>
    <w:uiPriority w:val="99"/>
    <w:semiHidden/>
    <w:unhideWhenUsed/>
    <w:rsid w:val="00564FF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64FF3"/>
    <w:rPr>
      <w:sz w:val="20"/>
      <w:szCs w:val="20"/>
    </w:rPr>
  </w:style>
  <w:style w:type="paragraph" w:styleId="Komentarotema">
    <w:name w:val="annotation subject"/>
    <w:basedOn w:val="Komentarotekstas"/>
    <w:next w:val="Komentarotekstas"/>
    <w:link w:val="KomentarotemaDiagrama"/>
    <w:uiPriority w:val="99"/>
    <w:semiHidden/>
    <w:unhideWhenUsed/>
    <w:rsid w:val="00564FF3"/>
    <w:rPr>
      <w:b/>
      <w:bCs/>
    </w:rPr>
  </w:style>
  <w:style w:type="character" w:customStyle="1" w:styleId="KomentarotemaDiagrama">
    <w:name w:val="Komentaro tema Diagrama"/>
    <w:basedOn w:val="KomentarotekstasDiagrama"/>
    <w:link w:val="Komentarotema"/>
    <w:uiPriority w:val="99"/>
    <w:semiHidden/>
    <w:rsid w:val="00564FF3"/>
    <w:rPr>
      <w:b/>
      <w:bCs/>
      <w:sz w:val="20"/>
      <w:szCs w:val="20"/>
    </w:rPr>
  </w:style>
  <w:style w:type="paragraph" w:styleId="Betarp">
    <w:name w:val="No Spacing"/>
    <w:uiPriority w:val="1"/>
    <w:qFormat/>
    <w:rsid w:val="00623CBD"/>
    <w:pPr>
      <w:spacing w:after="0" w:line="240" w:lineRule="auto"/>
    </w:pPr>
  </w:style>
  <w:style w:type="character" w:customStyle="1" w:styleId="Neapdorotaspaminjimas1">
    <w:name w:val="Neapdorotas paminėjimas1"/>
    <w:basedOn w:val="Numatytasispastraiposriftas"/>
    <w:uiPriority w:val="99"/>
    <w:semiHidden/>
    <w:unhideWhenUsed/>
    <w:rsid w:val="00B40D06"/>
    <w:rPr>
      <w:color w:val="605E5C"/>
      <w:shd w:val="clear" w:color="auto" w:fill="E1DFDD"/>
    </w:rPr>
  </w:style>
  <w:style w:type="character" w:styleId="Perirtashipersaitas">
    <w:name w:val="FollowedHyperlink"/>
    <w:basedOn w:val="Numatytasispastraiposriftas"/>
    <w:uiPriority w:val="99"/>
    <w:semiHidden/>
    <w:unhideWhenUsed/>
    <w:rsid w:val="00E41EE4"/>
    <w:rPr>
      <w:color w:val="954F72" w:themeColor="followedHyperlink"/>
      <w:u w:val="single"/>
    </w:rPr>
  </w:style>
  <w:style w:type="character" w:styleId="Neapdorotaspaminjimas">
    <w:name w:val="Unresolved Mention"/>
    <w:basedOn w:val="Numatytasispastraiposriftas"/>
    <w:uiPriority w:val="99"/>
    <w:semiHidden/>
    <w:unhideWhenUsed/>
    <w:rsid w:val="00275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906">
      <w:bodyDiv w:val="1"/>
      <w:marLeft w:val="0"/>
      <w:marRight w:val="0"/>
      <w:marTop w:val="0"/>
      <w:marBottom w:val="0"/>
      <w:divBdr>
        <w:top w:val="none" w:sz="0" w:space="0" w:color="auto"/>
        <w:left w:val="none" w:sz="0" w:space="0" w:color="auto"/>
        <w:bottom w:val="none" w:sz="0" w:space="0" w:color="auto"/>
        <w:right w:val="none" w:sz="0" w:space="0" w:color="auto"/>
      </w:divBdr>
    </w:div>
    <w:div w:id="634289142">
      <w:bodyDiv w:val="1"/>
      <w:marLeft w:val="0"/>
      <w:marRight w:val="0"/>
      <w:marTop w:val="0"/>
      <w:marBottom w:val="0"/>
      <w:divBdr>
        <w:top w:val="none" w:sz="0" w:space="0" w:color="auto"/>
        <w:left w:val="none" w:sz="0" w:space="0" w:color="auto"/>
        <w:bottom w:val="none" w:sz="0" w:space="0" w:color="auto"/>
        <w:right w:val="none" w:sz="0" w:space="0" w:color="auto"/>
      </w:divBdr>
      <w:divsChild>
        <w:div w:id="1065907206">
          <w:marLeft w:val="0"/>
          <w:marRight w:val="0"/>
          <w:marTop w:val="0"/>
          <w:marBottom w:val="0"/>
          <w:divBdr>
            <w:top w:val="none" w:sz="0" w:space="0" w:color="auto"/>
            <w:left w:val="none" w:sz="0" w:space="0" w:color="auto"/>
            <w:bottom w:val="none" w:sz="0" w:space="0" w:color="auto"/>
            <w:right w:val="none" w:sz="0" w:space="0" w:color="auto"/>
          </w:divBdr>
        </w:div>
        <w:div w:id="1145973135">
          <w:marLeft w:val="0"/>
          <w:marRight w:val="0"/>
          <w:marTop w:val="0"/>
          <w:marBottom w:val="0"/>
          <w:divBdr>
            <w:top w:val="none" w:sz="0" w:space="0" w:color="auto"/>
            <w:left w:val="none" w:sz="0" w:space="0" w:color="auto"/>
            <w:bottom w:val="none" w:sz="0" w:space="0" w:color="auto"/>
            <w:right w:val="none" w:sz="0" w:space="0" w:color="auto"/>
          </w:divBdr>
        </w:div>
        <w:div w:id="2037074179">
          <w:marLeft w:val="0"/>
          <w:marRight w:val="0"/>
          <w:marTop w:val="0"/>
          <w:marBottom w:val="0"/>
          <w:divBdr>
            <w:top w:val="none" w:sz="0" w:space="0" w:color="auto"/>
            <w:left w:val="none" w:sz="0" w:space="0" w:color="auto"/>
            <w:bottom w:val="none" w:sz="0" w:space="0" w:color="auto"/>
            <w:right w:val="none" w:sz="0" w:space="0" w:color="auto"/>
          </w:divBdr>
        </w:div>
        <w:div w:id="314649135">
          <w:marLeft w:val="0"/>
          <w:marRight w:val="0"/>
          <w:marTop w:val="0"/>
          <w:marBottom w:val="0"/>
          <w:divBdr>
            <w:top w:val="none" w:sz="0" w:space="0" w:color="auto"/>
            <w:left w:val="none" w:sz="0" w:space="0" w:color="auto"/>
            <w:bottom w:val="none" w:sz="0" w:space="0" w:color="auto"/>
            <w:right w:val="none" w:sz="0" w:space="0" w:color="auto"/>
          </w:divBdr>
        </w:div>
        <w:div w:id="1496413270">
          <w:marLeft w:val="0"/>
          <w:marRight w:val="0"/>
          <w:marTop w:val="0"/>
          <w:marBottom w:val="0"/>
          <w:divBdr>
            <w:top w:val="none" w:sz="0" w:space="0" w:color="auto"/>
            <w:left w:val="none" w:sz="0" w:space="0" w:color="auto"/>
            <w:bottom w:val="none" w:sz="0" w:space="0" w:color="auto"/>
            <w:right w:val="none" w:sz="0" w:space="0" w:color="auto"/>
          </w:divBdr>
        </w:div>
      </w:divsChild>
    </w:div>
    <w:div w:id="659163452">
      <w:bodyDiv w:val="1"/>
      <w:marLeft w:val="0"/>
      <w:marRight w:val="0"/>
      <w:marTop w:val="0"/>
      <w:marBottom w:val="0"/>
      <w:divBdr>
        <w:top w:val="none" w:sz="0" w:space="0" w:color="auto"/>
        <w:left w:val="none" w:sz="0" w:space="0" w:color="auto"/>
        <w:bottom w:val="none" w:sz="0" w:space="0" w:color="auto"/>
        <w:right w:val="none" w:sz="0" w:space="0" w:color="auto"/>
      </w:divBdr>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1216619018">
      <w:bodyDiv w:val="1"/>
      <w:marLeft w:val="0"/>
      <w:marRight w:val="0"/>
      <w:marTop w:val="0"/>
      <w:marBottom w:val="0"/>
      <w:divBdr>
        <w:top w:val="none" w:sz="0" w:space="0" w:color="auto"/>
        <w:left w:val="none" w:sz="0" w:space="0" w:color="auto"/>
        <w:bottom w:val="none" w:sz="0" w:space="0" w:color="auto"/>
        <w:right w:val="none" w:sz="0" w:space="0" w:color="auto"/>
      </w:divBdr>
      <w:divsChild>
        <w:div w:id="1206142763">
          <w:marLeft w:val="0"/>
          <w:marRight w:val="0"/>
          <w:marTop w:val="0"/>
          <w:marBottom w:val="0"/>
          <w:divBdr>
            <w:top w:val="none" w:sz="0" w:space="0" w:color="auto"/>
            <w:left w:val="none" w:sz="0" w:space="0" w:color="auto"/>
            <w:bottom w:val="none" w:sz="0" w:space="0" w:color="auto"/>
            <w:right w:val="none" w:sz="0" w:space="0" w:color="auto"/>
          </w:divBdr>
        </w:div>
        <w:div w:id="1229997543">
          <w:marLeft w:val="0"/>
          <w:marRight w:val="0"/>
          <w:marTop w:val="0"/>
          <w:marBottom w:val="0"/>
          <w:divBdr>
            <w:top w:val="none" w:sz="0" w:space="0" w:color="auto"/>
            <w:left w:val="none" w:sz="0" w:space="0" w:color="auto"/>
            <w:bottom w:val="none" w:sz="0" w:space="0" w:color="auto"/>
            <w:right w:val="none" w:sz="0" w:space="0" w:color="auto"/>
          </w:divBdr>
        </w:div>
        <w:div w:id="1023164868">
          <w:marLeft w:val="0"/>
          <w:marRight w:val="0"/>
          <w:marTop w:val="0"/>
          <w:marBottom w:val="0"/>
          <w:divBdr>
            <w:top w:val="none" w:sz="0" w:space="0" w:color="auto"/>
            <w:left w:val="none" w:sz="0" w:space="0" w:color="auto"/>
            <w:bottom w:val="none" w:sz="0" w:space="0" w:color="auto"/>
            <w:right w:val="none" w:sz="0" w:space="0" w:color="auto"/>
          </w:divBdr>
        </w:div>
        <w:div w:id="167447031">
          <w:marLeft w:val="0"/>
          <w:marRight w:val="0"/>
          <w:marTop w:val="0"/>
          <w:marBottom w:val="0"/>
          <w:divBdr>
            <w:top w:val="none" w:sz="0" w:space="0" w:color="auto"/>
            <w:left w:val="none" w:sz="0" w:space="0" w:color="auto"/>
            <w:bottom w:val="none" w:sz="0" w:space="0" w:color="auto"/>
            <w:right w:val="none" w:sz="0" w:space="0" w:color="auto"/>
          </w:divBdr>
        </w:div>
        <w:div w:id="1414815087">
          <w:marLeft w:val="0"/>
          <w:marRight w:val="0"/>
          <w:marTop w:val="0"/>
          <w:marBottom w:val="0"/>
          <w:divBdr>
            <w:top w:val="none" w:sz="0" w:space="0" w:color="auto"/>
            <w:left w:val="none" w:sz="0" w:space="0" w:color="auto"/>
            <w:bottom w:val="none" w:sz="0" w:space="0" w:color="auto"/>
            <w:right w:val="none" w:sz="0" w:space="0" w:color="auto"/>
          </w:divBdr>
        </w:div>
        <w:div w:id="256057408">
          <w:marLeft w:val="0"/>
          <w:marRight w:val="0"/>
          <w:marTop w:val="0"/>
          <w:marBottom w:val="0"/>
          <w:divBdr>
            <w:top w:val="none" w:sz="0" w:space="0" w:color="auto"/>
            <w:left w:val="none" w:sz="0" w:space="0" w:color="auto"/>
            <w:bottom w:val="none" w:sz="0" w:space="0" w:color="auto"/>
            <w:right w:val="none" w:sz="0" w:space="0" w:color="auto"/>
          </w:divBdr>
        </w:div>
      </w:divsChild>
    </w:div>
    <w:div w:id="1311250148">
      <w:bodyDiv w:val="1"/>
      <w:marLeft w:val="0"/>
      <w:marRight w:val="0"/>
      <w:marTop w:val="0"/>
      <w:marBottom w:val="0"/>
      <w:divBdr>
        <w:top w:val="none" w:sz="0" w:space="0" w:color="auto"/>
        <w:left w:val="none" w:sz="0" w:space="0" w:color="auto"/>
        <w:bottom w:val="none" w:sz="0" w:space="0" w:color="auto"/>
        <w:right w:val="none" w:sz="0" w:space="0" w:color="auto"/>
      </w:divBdr>
      <w:divsChild>
        <w:div w:id="901907965">
          <w:marLeft w:val="0"/>
          <w:marRight w:val="0"/>
          <w:marTop w:val="0"/>
          <w:marBottom w:val="0"/>
          <w:divBdr>
            <w:top w:val="none" w:sz="0" w:space="0" w:color="auto"/>
            <w:left w:val="none" w:sz="0" w:space="0" w:color="auto"/>
            <w:bottom w:val="none" w:sz="0" w:space="0" w:color="auto"/>
            <w:right w:val="none" w:sz="0" w:space="0" w:color="auto"/>
          </w:divBdr>
        </w:div>
        <w:div w:id="1100762002">
          <w:marLeft w:val="0"/>
          <w:marRight w:val="0"/>
          <w:marTop w:val="0"/>
          <w:marBottom w:val="0"/>
          <w:divBdr>
            <w:top w:val="none" w:sz="0" w:space="0" w:color="auto"/>
            <w:left w:val="none" w:sz="0" w:space="0" w:color="auto"/>
            <w:bottom w:val="none" w:sz="0" w:space="0" w:color="auto"/>
            <w:right w:val="none" w:sz="0" w:space="0" w:color="auto"/>
          </w:divBdr>
        </w:div>
        <w:div w:id="998270498">
          <w:marLeft w:val="0"/>
          <w:marRight w:val="0"/>
          <w:marTop w:val="0"/>
          <w:marBottom w:val="0"/>
          <w:divBdr>
            <w:top w:val="none" w:sz="0" w:space="0" w:color="auto"/>
            <w:left w:val="none" w:sz="0" w:space="0" w:color="auto"/>
            <w:bottom w:val="none" w:sz="0" w:space="0" w:color="auto"/>
            <w:right w:val="none" w:sz="0" w:space="0" w:color="auto"/>
          </w:divBdr>
        </w:div>
      </w:divsChild>
    </w:div>
    <w:div w:id="1380203356">
      <w:bodyDiv w:val="1"/>
      <w:marLeft w:val="0"/>
      <w:marRight w:val="0"/>
      <w:marTop w:val="0"/>
      <w:marBottom w:val="0"/>
      <w:divBdr>
        <w:top w:val="none" w:sz="0" w:space="0" w:color="auto"/>
        <w:left w:val="none" w:sz="0" w:space="0" w:color="auto"/>
        <w:bottom w:val="none" w:sz="0" w:space="0" w:color="auto"/>
        <w:right w:val="none" w:sz="0" w:space="0" w:color="auto"/>
      </w:divBdr>
      <w:divsChild>
        <w:div w:id="1329594870">
          <w:marLeft w:val="0"/>
          <w:marRight w:val="0"/>
          <w:marTop w:val="0"/>
          <w:marBottom w:val="0"/>
          <w:divBdr>
            <w:top w:val="none" w:sz="0" w:space="0" w:color="auto"/>
            <w:left w:val="none" w:sz="0" w:space="0" w:color="auto"/>
            <w:bottom w:val="none" w:sz="0" w:space="0" w:color="auto"/>
            <w:right w:val="none" w:sz="0" w:space="0" w:color="auto"/>
          </w:divBdr>
        </w:div>
        <w:div w:id="1110667814">
          <w:marLeft w:val="0"/>
          <w:marRight w:val="0"/>
          <w:marTop w:val="0"/>
          <w:marBottom w:val="0"/>
          <w:divBdr>
            <w:top w:val="none" w:sz="0" w:space="0" w:color="auto"/>
            <w:left w:val="none" w:sz="0" w:space="0" w:color="auto"/>
            <w:bottom w:val="none" w:sz="0" w:space="0" w:color="auto"/>
            <w:right w:val="none" w:sz="0" w:space="0" w:color="auto"/>
          </w:divBdr>
        </w:div>
      </w:divsChild>
    </w:div>
    <w:div w:id="1436052331">
      <w:bodyDiv w:val="1"/>
      <w:marLeft w:val="0"/>
      <w:marRight w:val="0"/>
      <w:marTop w:val="0"/>
      <w:marBottom w:val="0"/>
      <w:divBdr>
        <w:top w:val="none" w:sz="0" w:space="0" w:color="auto"/>
        <w:left w:val="none" w:sz="0" w:space="0" w:color="auto"/>
        <w:bottom w:val="none" w:sz="0" w:space="0" w:color="auto"/>
        <w:right w:val="none" w:sz="0" w:space="0" w:color="auto"/>
      </w:divBdr>
      <w:divsChild>
        <w:div w:id="1079525479">
          <w:marLeft w:val="0"/>
          <w:marRight w:val="0"/>
          <w:marTop w:val="0"/>
          <w:marBottom w:val="0"/>
          <w:divBdr>
            <w:top w:val="none" w:sz="0" w:space="0" w:color="auto"/>
            <w:left w:val="none" w:sz="0" w:space="0" w:color="auto"/>
            <w:bottom w:val="none" w:sz="0" w:space="0" w:color="auto"/>
            <w:right w:val="none" w:sz="0" w:space="0" w:color="auto"/>
          </w:divBdr>
          <w:divsChild>
            <w:div w:id="339167172">
              <w:marLeft w:val="0"/>
              <w:marRight w:val="0"/>
              <w:marTop w:val="0"/>
              <w:marBottom w:val="0"/>
              <w:divBdr>
                <w:top w:val="none" w:sz="0" w:space="0" w:color="auto"/>
                <w:left w:val="none" w:sz="0" w:space="0" w:color="auto"/>
                <w:bottom w:val="none" w:sz="0" w:space="0" w:color="auto"/>
                <w:right w:val="none" w:sz="0" w:space="0" w:color="auto"/>
              </w:divBdr>
            </w:div>
            <w:div w:id="1232496353">
              <w:marLeft w:val="0"/>
              <w:marRight w:val="0"/>
              <w:marTop w:val="0"/>
              <w:marBottom w:val="0"/>
              <w:divBdr>
                <w:top w:val="none" w:sz="0" w:space="0" w:color="auto"/>
                <w:left w:val="none" w:sz="0" w:space="0" w:color="auto"/>
                <w:bottom w:val="none" w:sz="0" w:space="0" w:color="auto"/>
                <w:right w:val="none" w:sz="0" w:space="0" w:color="auto"/>
              </w:divBdr>
            </w:div>
            <w:div w:id="1873416345">
              <w:marLeft w:val="0"/>
              <w:marRight w:val="0"/>
              <w:marTop w:val="0"/>
              <w:marBottom w:val="0"/>
              <w:divBdr>
                <w:top w:val="none" w:sz="0" w:space="0" w:color="auto"/>
                <w:left w:val="none" w:sz="0" w:space="0" w:color="auto"/>
                <w:bottom w:val="none" w:sz="0" w:space="0" w:color="auto"/>
                <w:right w:val="none" w:sz="0" w:space="0" w:color="auto"/>
              </w:divBdr>
            </w:div>
            <w:div w:id="1285892102">
              <w:marLeft w:val="0"/>
              <w:marRight w:val="0"/>
              <w:marTop w:val="0"/>
              <w:marBottom w:val="0"/>
              <w:divBdr>
                <w:top w:val="none" w:sz="0" w:space="0" w:color="auto"/>
                <w:left w:val="none" w:sz="0" w:space="0" w:color="auto"/>
                <w:bottom w:val="none" w:sz="0" w:space="0" w:color="auto"/>
                <w:right w:val="none" w:sz="0" w:space="0" w:color="auto"/>
              </w:divBdr>
            </w:div>
            <w:div w:id="294221772">
              <w:marLeft w:val="0"/>
              <w:marRight w:val="0"/>
              <w:marTop w:val="0"/>
              <w:marBottom w:val="0"/>
              <w:divBdr>
                <w:top w:val="none" w:sz="0" w:space="0" w:color="auto"/>
                <w:left w:val="none" w:sz="0" w:space="0" w:color="auto"/>
                <w:bottom w:val="none" w:sz="0" w:space="0" w:color="auto"/>
                <w:right w:val="none" w:sz="0" w:space="0" w:color="auto"/>
              </w:divBdr>
            </w:div>
            <w:div w:id="1810703317">
              <w:marLeft w:val="0"/>
              <w:marRight w:val="0"/>
              <w:marTop w:val="0"/>
              <w:marBottom w:val="0"/>
              <w:divBdr>
                <w:top w:val="none" w:sz="0" w:space="0" w:color="auto"/>
                <w:left w:val="none" w:sz="0" w:space="0" w:color="auto"/>
                <w:bottom w:val="none" w:sz="0" w:space="0" w:color="auto"/>
                <w:right w:val="none" w:sz="0" w:space="0" w:color="auto"/>
              </w:divBdr>
            </w:div>
            <w:div w:id="746342118">
              <w:marLeft w:val="0"/>
              <w:marRight w:val="0"/>
              <w:marTop w:val="0"/>
              <w:marBottom w:val="0"/>
              <w:divBdr>
                <w:top w:val="none" w:sz="0" w:space="0" w:color="auto"/>
                <w:left w:val="none" w:sz="0" w:space="0" w:color="auto"/>
                <w:bottom w:val="none" w:sz="0" w:space="0" w:color="auto"/>
                <w:right w:val="none" w:sz="0" w:space="0" w:color="auto"/>
              </w:divBdr>
            </w:div>
            <w:div w:id="186985867">
              <w:marLeft w:val="0"/>
              <w:marRight w:val="0"/>
              <w:marTop w:val="0"/>
              <w:marBottom w:val="0"/>
              <w:divBdr>
                <w:top w:val="none" w:sz="0" w:space="0" w:color="auto"/>
                <w:left w:val="none" w:sz="0" w:space="0" w:color="auto"/>
                <w:bottom w:val="none" w:sz="0" w:space="0" w:color="auto"/>
                <w:right w:val="none" w:sz="0" w:space="0" w:color="auto"/>
              </w:divBdr>
            </w:div>
            <w:div w:id="1066101299">
              <w:marLeft w:val="0"/>
              <w:marRight w:val="0"/>
              <w:marTop w:val="0"/>
              <w:marBottom w:val="0"/>
              <w:divBdr>
                <w:top w:val="none" w:sz="0" w:space="0" w:color="auto"/>
                <w:left w:val="none" w:sz="0" w:space="0" w:color="auto"/>
                <w:bottom w:val="none" w:sz="0" w:space="0" w:color="auto"/>
                <w:right w:val="none" w:sz="0" w:space="0" w:color="auto"/>
              </w:divBdr>
            </w:div>
          </w:divsChild>
        </w:div>
        <w:div w:id="1491093114">
          <w:marLeft w:val="0"/>
          <w:marRight w:val="0"/>
          <w:marTop w:val="0"/>
          <w:marBottom w:val="0"/>
          <w:divBdr>
            <w:top w:val="none" w:sz="0" w:space="0" w:color="auto"/>
            <w:left w:val="none" w:sz="0" w:space="0" w:color="auto"/>
            <w:bottom w:val="none" w:sz="0" w:space="0" w:color="auto"/>
            <w:right w:val="none" w:sz="0" w:space="0" w:color="auto"/>
          </w:divBdr>
        </w:div>
      </w:divsChild>
    </w:div>
    <w:div w:id="1462726686">
      <w:bodyDiv w:val="1"/>
      <w:marLeft w:val="0"/>
      <w:marRight w:val="0"/>
      <w:marTop w:val="0"/>
      <w:marBottom w:val="0"/>
      <w:divBdr>
        <w:top w:val="none" w:sz="0" w:space="0" w:color="auto"/>
        <w:left w:val="none" w:sz="0" w:space="0" w:color="auto"/>
        <w:bottom w:val="none" w:sz="0" w:space="0" w:color="auto"/>
        <w:right w:val="none" w:sz="0" w:space="0" w:color="auto"/>
      </w:divBdr>
      <w:divsChild>
        <w:div w:id="1172526015">
          <w:marLeft w:val="0"/>
          <w:marRight w:val="0"/>
          <w:marTop w:val="0"/>
          <w:marBottom w:val="0"/>
          <w:divBdr>
            <w:top w:val="none" w:sz="0" w:space="0" w:color="auto"/>
            <w:left w:val="none" w:sz="0" w:space="0" w:color="auto"/>
            <w:bottom w:val="none" w:sz="0" w:space="0" w:color="auto"/>
            <w:right w:val="none" w:sz="0" w:space="0" w:color="auto"/>
          </w:divBdr>
        </w:div>
        <w:div w:id="1519198204">
          <w:marLeft w:val="0"/>
          <w:marRight w:val="0"/>
          <w:marTop w:val="0"/>
          <w:marBottom w:val="0"/>
          <w:divBdr>
            <w:top w:val="none" w:sz="0" w:space="0" w:color="auto"/>
            <w:left w:val="none" w:sz="0" w:space="0" w:color="auto"/>
            <w:bottom w:val="none" w:sz="0" w:space="0" w:color="auto"/>
            <w:right w:val="none" w:sz="0" w:space="0" w:color="auto"/>
          </w:divBdr>
        </w:div>
        <w:div w:id="278025524">
          <w:marLeft w:val="0"/>
          <w:marRight w:val="0"/>
          <w:marTop w:val="0"/>
          <w:marBottom w:val="0"/>
          <w:divBdr>
            <w:top w:val="none" w:sz="0" w:space="0" w:color="auto"/>
            <w:left w:val="none" w:sz="0" w:space="0" w:color="auto"/>
            <w:bottom w:val="none" w:sz="0" w:space="0" w:color="auto"/>
            <w:right w:val="none" w:sz="0" w:space="0" w:color="auto"/>
          </w:divBdr>
        </w:div>
        <w:div w:id="1072043158">
          <w:marLeft w:val="0"/>
          <w:marRight w:val="0"/>
          <w:marTop w:val="0"/>
          <w:marBottom w:val="0"/>
          <w:divBdr>
            <w:top w:val="none" w:sz="0" w:space="0" w:color="auto"/>
            <w:left w:val="none" w:sz="0" w:space="0" w:color="auto"/>
            <w:bottom w:val="none" w:sz="0" w:space="0" w:color="auto"/>
            <w:right w:val="none" w:sz="0" w:space="0" w:color="auto"/>
          </w:divBdr>
        </w:div>
      </w:divsChild>
    </w:div>
    <w:div w:id="1520268462">
      <w:bodyDiv w:val="1"/>
      <w:marLeft w:val="0"/>
      <w:marRight w:val="0"/>
      <w:marTop w:val="0"/>
      <w:marBottom w:val="0"/>
      <w:divBdr>
        <w:top w:val="none" w:sz="0" w:space="0" w:color="auto"/>
        <w:left w:val="none" w:sz="0" w:space="0" w:color="auto"/>
        <w:bottom w:val="none" w:sz="0" w:space="0" w:color="auto"/>
        <w:right w:val="none" w:sz="0" w:space="0" w:color="auto"/>
      </w:divBdr>
      <w:divsChild>
        <w:div w:id="31462519">
          <w:marLeft w:val="0"/>
          <w:marRight w:val="0"/>
          <w:marTop w:val="0"/>
          <w:marBottom w:val="0"/>
          <w:divBdr>
            <w:top w:val="none" w:sz="0" w:space="0" w:color="auto"/>
            <w:left w:val="none" w:sz="0" w:space="0" w:color="auto"/>
            <w:bottom w:val="none" w:sz="0" w:space="0" w:color="auto"/>
            <w:right w:val="none" w:sz="0" w:space="0" w:color="auto"/>
          </w:divBdr>
        </w:div>
        <w:div w:id="966009526">
          <w:marLeft w:val="0"/>
          <w:marRight w:val="0"/>
          <w:marTop w:val="0"/>
          <w:marBottom w:val="0"/>
          <w:divBdr>
            <w:top w:val="none" w:sz="0" w:space="0" w:color="auto"/>
            <w:left w:val="none" w:sz="0" w:space="0" w:color="auto"/>
            <w:bottom w:val="none" w:sz="0" w:space="0" w:color="auto"/>
            <w:right w:val="none" w:sz="0" w:space="0" w:color="auto"/>
          </w:divBdr>
        </w:div>
        <w:div w:id="650408857">
          <w:marLeft w:val="0"/>
          <w:marRight w:val="0"/>
          <w:marTop w:val="0"/>
          <w:marBottom w:val="0"/>
          <w:divBdr>
            <w:top w:val="none" w:sz="0" w:space="0" w:color="auto"/>
            <w:left w:val="none" w:sz="0" w:space="0" w:color="auto"/>
            <w:bottom w:val="none" w:sz="0" w:space="0" w:color="auto"/>
            <w:right w:val="none" w:sz="0" w:space="0" w:color="auto"/>
          </w:divBdr>
        </w:div>
      </w:divsChild>
    </w:div>
    <w:div w:id="1828589721">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1275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193737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12755" TargetMode="External"/><Relationship Id="rId5" Type="http://schemas.openxmlformats.org/officeDocument/2006/relationships/webSettings" Target="webSettings.xml"/><Relationship Id="rId15" Type="http://schemas.openxmlformats.org/officeDocument/2006/relationships/hyperlink" Target="https://www.infolex.lt/tp/482806" TargetMode="External"/><Relationship Id="rId10" Type="http://schemas.openxmlformats.org/officeDocument/2006/relationships/hyperlink" Target="https://www.infolex.lt/tp/216749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hyperlink" Target="https://www.infolex.lt/tp/19373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08493-8511-4F7D-ADF2-F37D01315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6728</Words>
  <Characters>38356</Characters>
  <Application>Microsoft Office Word</Application>
  <DocSecurity>0</DocSecurity>
  <Lines>319</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N.Surblyte-Rimkiene</dc:creator>
  <cp:lastModifiedBy>Raimonda Rauluševičienė</cp:lastModifiedBy>
  <cp:revision>2</cp:revision>
  <cp:lastPrinted>2023-05-16T12:55:00Z</cp:lastPrinted>
  <dcterms:created xsi:type="dcterms:W3CDTF">2023-09-28T10:47:00Z</dcterms:created>
  <dcterms:modified xsi:type="dcterms:W3CDTF">2023-09-28T10:47:00Z</dcterms:modified>
</cp:coreProperties>
</file>